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0EE" w:rsidRDefault="00BE70EE" w:rsidP="002451FE">
      <w:pPr>
        <w:jc w:val="center"/>
        <w:rPr>
          <w:rFonts w:ascii="Arial" w:hAnsi="Arial" w:cs="Arial"/>
          <w:b/>
          <w:sz w:val="24"/>
          <w:szCs w:val="24"/>
        </w:rPr>
      </w:pPr>
    </w:p>
    <w:p w:rsidR="003B7D76" w:rsidRDefault="00BE70EE" w:rsidP="002451FE">
      <w:pPr>
        <w:jc w:val="center"/>
        <w:rPr>
          <w:rFonts w:ascii="Arial" w:hAnsi="Arial" w:cs="Arial"/>
          <w:b/>
          <w:sz w:val="24"/>
          <w:szCs w:val="24"/>
        </w:rPr>
      </w:pPr>
      <w:r w:rsidRPr="002451FE">
        <w:rPr>
          <w:rFonts w:ascii="Arial" w:hAnsi="Arial" w:cs="Arial"/>
          <w:b/>
          <w:sz w:val="24"/>
          <w:szCs w:val="24"/>
        </w:rPr>
        <w:t>PROYECTO DE LEY N</w:t>
      </w:r>
      <w:r>
        <w:rPr>
          <w:rFonts w:ascii="Arial" w:hAnsi="Arial" w:cs="Arial"/>
          <w:b/>
          <w:sz w:val="24"/>
          <w:szCs w:val="24"/>
        </w:rPr>
        <w:t xml:space="preserve">o. </w:t>
      </w:r>
      <w:r w:rsidRPr="002451FE">
        <w:rPr>
          <w:rFonts w:ascii="Arial" w:hAnsi="Arial" w:cs="Arial"/>
          <w:b/>
          <w:sz w:val="24"/>
          <w:szCs w:val="24"/>
        </w:rPr>
        <w:t xml:space="preserve">____ DE 2012 </w:t>
      </w:r>
    </w:p>
    <w:p w:rsidR="00BE70EE" w:rsidRDefault="00BE70EE" w:rsidP="002451FE">
      <w:pPr>
        <w:jc w:val="center"/>
        <w:rPr>
          <w:rFonts w:ascii="Arial" w:hAnsi="Arial" w:cs="Arial"/>
          <w:b/>
          <w:sz w:val="24"/>
          <w:szCs w:val="24"/>
        </w:rPr>
      </w:pPr>
    </w:p>
    <w:p w:rsidR="002451FE" w:rsidRDefault="002451FE" w:rsidP="002451FE">
      <w:pPr>
        <w:jc w:val="center"/>
        <w:rPr>
          <w:rFonts w:ascii="Arial" w:hAnsi="Arial" w:cs="Arial"/>
          <w:b/>
          <w:sz w:val="24"/>
          <w:szCs w:val="24"/>
        </w:rPr>
      </w:pPr>
      <w:r w:rsidRPr="002451FE">
        <w:rPr>
          <w:rFonts w:ascii="Arial" w:hAnsi="Arial" w:cs="Arial"/>
          <w:b/>
          <w:sz w:val="24"/>
          <w:szCs w:val="24"/>
        </w:rPr>
        <w:t>“</w:t>
      </w:r>
      <w:r w:rsidRPr="003B7D76">
        <w:rPr>
          <w:rFonts w:ascii="Arial" w:hAnsi="Arial" w:cs="Arial"/>
          <w:b/>
          <w:sz w:val="24"/>
          <w:szCs w:val="24"/>
        </w:rPr>
        <w:t>Mediante el cual se fortalecen las medidas para la protección de las aguas subterráneas</w:t>
      </w:r>
      <w:r w:rsidRPr="002451FE">
        <w:rPr>
          <w:rFonts w:ascii="Arial" w:hAnsi="Arial" w:cs="Arial"/>
          <w:b/>
          <w:sz w:val="24"/>
          <w:szCs w:val="24"/>
        </w:rPr>
        <w:t>”</w:t>
      </w:r>
    </w:p>
    <w:p w:rsidR="003B7D76" w:rsidRPr="002451FE" w:rsidRDefault="003B7D76" w:rsidP="002451FE">
      <w:pPr>
        <w:jc w:val="center"/>
        <w:rPr>
          <w:rFonts w:ascii="Arial" w:hAnsi="Arial" w:cs="Arial"/>
          <w:b/>
          <w:sz w:val="24"/>
          <w:szCs w:val="24"/>
        </w:rPr>
      </w:pPr>
    </w:p>
    <w:p w:rsidR="00362424" w:rsidRDefault="00694331" w:rsidP="005C2FC0">
      <w:pPr>
        <w:jc w:val="center"/>
        <w:rPr>
          <w:rFonts w:ascii="Arial" w:hAnsi="Arial" w:cs="Arial"/>
          <w:b/>
          <w:bCs/>
          <w:sz w:val="24"/>
          <w:szCs w:val="24"/>
        </w:rPr>
      </w:pPr>
      <w:r w:rsidRPr="00A5253D">
        <w:rPr>
          <w:rFonts w:ascii="Arial" w:hAnsi="Arial" w:cs="Arial"/>
          <w:b/>
          <w:bCs/>
          <w:sz w:val="24"/>
          <w:szCs w:val="24"/>
        </w:rPr>
        <w:t>EXPOSICIÓN DE MOTIVOS</w:t>
      </w:r>
    </w:p>
    <w:p w:rsidR="00694331" w:rsidRPr="00A5253D" w:rsidRDefault="00694331" w:rsidP="005C2FC0">
      <w:pPr>
        <w:jc w:val="center"/>
        <w:rPr>
          <w:rFonts w:ascii="Arial" w:hAnsi="Arial" w:cs="Arial"/>
          <w:b/>
          <w:bCs/>
          <w:sz w:val="24"/>
          <w:szCs w:val="24"/>
        </w:rPr>
      </w:pPr>
    </w:p>
    <w:p w:rsidR="001D6C33" w:rsidRPr="00A5253D" w:rsidRDefault="00EE1038" w:rsidP="001D6C33">
      <w:pPr>
        <w:jc w:val="both"/>
        <w:rPr>
          <w:rFonts w:ascii="Arial" w:hAnsi="Arial" w:cs="Arial"/>
          <w:sz w:val="24"/>
          <w:szCs w:val="24"/>
        </w:rPr>
      </w:pPr>
      <w:r w:rsidRPr="00A5253D">
        <w:rPr>
          <w:rFonts w:ascii="Arial" w:hAnsi="Arial" w:cs="Arial"/>
          <w:sz w:val="24"/>
          <w:szCs w:val="24"/>
        </w:rPr>
        <w:t>El presente proyecto de ley tiene como propósito la</w:t>
      </w:r>
      <w:r w:rsidR="00DD6B5B" w:rsidRPr="00A5253D">
        <w:rPr>
          <w:rFonts w:ascii="Arial" w:hAnsi="Arial" w:cs="Arial"/>
          <w:sz w:val="24"/>
          <w:szCs w:val="24"/>
        </w:rPr>
        <w:t xml:space="preserve"> protección del medio ambiente </w:t>
      </w:r>
      <w:r w:rsidRPr="00A5253D">
        <w:rPr>
          <w:rFonts w:ascii="Arial" w:hAnsi="Arial" w:cs="Arial"/>
          <w:sz w:val="24"/>
          <w:szCs w:val="24"/>
        </w:rPr>
        <w:t>y la salud humana, toda vez que a la fecha</w:t>
      </w:r>
      <w:r w:rsidR="001D6C33" w:rsidRPr="00A5253D">
        <w:rPr>
          <w:rFonts w:ascii="Arial" w:hAnsi="Arial" w:cs="Arial"/>
          <w:sz w:val="24"/>
          <w:szCs w:val="24"/>
        </w:rPr>
        <w:t xml:space="preserve"> existe una plena certeza y consenso</w:t>
      </w:r>
      <w:r w:rsidRPr="00A5253D">
        <w:rPr>
          <w:rFonts w:ascii="Arial" w:hAnsi="Arial" w:cs="Arial"/>
          <w:sz w:val="24"/>
          <w:szCs w:val="24"/>
        </w:rPr>
        <w:t xml:space="preserve"> por parte de</w:t>
      </w:r>
      <w:r w:rsidR="001D6C33" w:rsidRPr="00A5253D">
        <w:rPr>
          <w:rFonts w:ascii="Arial" w:hAnsi="Arial" w:cs="Arial"/>
          <w:sz w:val="24"/>
          <w:szCs w:val="24"/>
        </w:rPr>
        <w:t xml:space="preserve"> la comunidad científica </w:t>
      </w:r>
      <w:r w:rsidRPr="00A5253D">
        <w:rPr>
          <w:rFonts w:ascii="Arial" w:hAnsi="Arial" w:cs="Arial"/>
          <w:sz w:val="24"/>
          <w:szCs w:val="24"/>
        </w:rPr>
        <w:t>acerca de</w:t>
      </w:r>
      <w:r w:rsidR="001D6C33" w:rsidRPr="00A5253D">
        <w:rPr>
          <w:rFonts w:ascii="Arial" w:hAnsi="Arial" w:cs="Arial"/>
          <w:sz w:val="24"/>
          <w:szCs w:val="24"/>
        </w:rPr>
        <w:t xml:space="preserve"> los potenciales efectos adversos de la instalación de cementerios</w:t>
      </w:r>
      <w:r w:rsidR="00DD6B5B" w:rsidRPr="00A5253D">
        <w:rPr>
          <w:rFonts w:ascii="Arial" w:hAnsi="Arial" w:cs="Arial"/>
          <w:sz w:val="24"/>
          <w:szCs w:val="24"/>
        </w:rPr>
        <w:t>,en</w:t>
      </w:r>
      <w:r w:rsidR="001D6C33" w:rsidRPr="00A5253D">
        <w:rPr>
          <w:rFonts w:ascii="Arial" w:hAnsi="Arial" w:cs="Arial"/>
          <w:sz w:val="24"/>
          <w:szCs w:val="24"/>
        </w:rPr>
        <w:t>agua</w:t>
      </w:r>
      <w:r w:rsidR="00DD6B5B" w:rsidRPr="00A5253D">
        <w:rPr>
          <w:rFonts w:ascii="Arial" w:hAnsi="Arial" w:cs="Arial"/>
          <w:sz w:val="24"/>
          <w:szCs w:val="24"/>
        </w:rPr>
        <w:t>s</w:t>
      </w:r>
      <w:r w:rsidR="001D6C33" w:rsidRPr="00A5253D">
        <w:rPr>
          <w:rFonts w:ascii="Arial" w:hAnsi="Arial" w:cs="Arial"/>
          <w:sz w:val="24"/>
          <w:szCs w:val="24"/>
        </w:rPr>
        <w:t xml:space="preserve"> superficial</w:t>
      </w:r>
      <w:r w:rsidR="00DD6B5B" w:rsidRPr="00A5253D">
        <w:rPr>
          <w:rFonts w:ascii="Arial" w:hAnsi="Arial" w:cs="Arial"/>
          <w:sz w:val="24"/>
          <w:szCs w:val="24"/>
        </w:rPr>
        <w:t xml:space="preserve">es y </w:t>
      </w:r>
      <w:r w:rsidR="001D6C33" w:rsidRPr="00A5253D">
        <w:rPr>
          <w:rFonts w:ascii="Arial" w:hAnsi="Arial" w:cs="Arial"/>
          <w:sz w:val="24"/>
          <w:szCs w:val="24"/>
        </w:rPr>
        <w:t>aguas subterráneas</w:t>
      </w:r>
      <w:r w:rsidR="00DD6B5B" w:rsidRPr="00A5253D">
        <w:rPr>
          <w:rFonts w:ascii="Arial" w:hAnsi="Arial" w:cs="Arial"/>
          <w:sz w:val="24"/>
          <w:szCs w:val="24"/>
        </w:rPr>
        <w:t xml:space="preserve">, </w:t>
      </w:r>
      <w:r w:rsidR="001D6C33" w:rsidRPr="00A5253D">
        <w:rPr>
          <w:rFonts w:ascii="Arial" w:hAnsi="Arial" w:cs="Arial"/>
          <w:sz w:val="24"/>
          <w:szCs w:val="24"/>
        </w:rPr>
        <w:t>de no hacerse los correspondientes estudios de impacto ambiental y se apliquen las medidas de mitigación respectivas</w:t>
      </w:r>
      <w:r w:rsidR="003C3A69" w:rsidRPr="00A5253D">
        <w:rPr>
          <w:rStyle w:val="Refdenotaalpie"/>
          <w:rFonts w:ascii="Arial" w:hAnsi="Arial" w:cs="Arial"/>
          <w:sz w:val="24"/>
          <w:szCs w:val="24"/>
        </w:rPr>
        <w:footnoteReference w:id="2"/>
      </w:r>
      <w:r w:rsidR="001D6C33" w:rsidRPr="00A5253D">
        <w:rPr>
          <w:rFonts w:ascii="Arial" w:hAnsi="Arial" w:cs="Arial"/>
          <w:sz w:val="24"/>
          <w:szCs w:val="24"/>
        </w:rPr>
        <w:t>.</w:t>
      </w:r>
    </w:p>
    <w:p w:rsidR="007D0AAC" w:rsidRPr="002451FE" w:rsidRDefault="002451FE" w:rsidP="0098521D">
      <w:pPr>
        <w:jc w:val="both"/>
        <w:rPr>
          <w:rFonts w:ascii="Arial" w:hAnsi="Arial" w:cs="Arial"/>
          <w:b/>
          <w:sz w:val="24"/>
        </w:rPr>
      </w:pPr>
      <w:r w:rsidRPr="002451FE">
        <w:rPr>
          <w:rFonts w:ascii="Arial" w:hAnsi="Arial" w:cs="Arial"/>
          <w:b/>
          <w:sz w:val="24"/>
        </w:rPr>
        <w:t>ANTECEDENTES:</w:t>
      </w:r>
    </w:p>
    <w:p w:rsidR="009D6502" w:rsidRDefault="00972817" w:rsidP="000A48A1">
      <w:pPr>
        <w:pStyle w:val="NormalWeb"/>
        <w:spacing w:line="276" w:lineRule="auto"/>
        <w:jc w:val="both"/>
        <w:rPr>
          <w:rFonts w:ascii="Arial" w:eastAsiaTheme="minorHAnsi" w:hAnsi="Arial" w:cs="Arial"/>
          <w:color w:val="auto"/>
          <w:lang w:eastAsia="en-US"/>
        </w:rPr>
      </w:pPr>
      <w:r w:rsidRPr="000A48A1">
        <w:rPr>
          <w:rFonts w:ascii="Arial" w:eastAsiaTheme="minorHAnsi" w:hAnsi="Arial" w:cs="Arial"/>
          <w:color w:val="auto"/>
          <w:lang w:eastAsia="en-US"/>
        </w:rPr>
        <w:t xml:space="preserve">La crisis por la escasez de agua es de carácter global, y aunque afecta a todos los países, hace sólo unas décadas comenzó a debatirse. </w:t>
      </w:r>
      <w:r w:rsidR="009D6502">
        <w:rPr>
          <w:rFonts w:ascii="Arial" w:eastAsiaTheme="minorHAnsi" w:hAnsi="Arial" w:cs="Arial"/>
          <w:color w:val="auto"/>
          <w:lang w:eastAsia="en-US"/>
        </w:rPr>
        <w:t xml:space="preserve">Algunos referentes importantes son: </w:t>
      </w:r>
    </w:p>
    <w:p w:rsidR="00A30BC6" w:rsidRPr="00694331" w:rsidRDefault="00A30BC6" w:rsidP="00694331">
      <w:pPr>
        <w:pStyle w:val="Prrafodelista"/>
        <w:numPr>
          <w:ilvl w:val="0"/>
          <w:numId w:val="10"/>
        </w:numPr>
        <w:jc w:val="both"/>
      </w:pPr>
      <w:r w:rsidRPr="00694331">
        <w:rPr>
          <w:rFonts w:ascii="Arial" w:hAnsi="Arial" w:cs="Arial"/>
          <w:sz w:val="24"/>
          <w:szCs w:val="24"/>
        </w:rPr>
        <w:t xml:space="preserve">Conferencia de las Naciones Unidas sobre el </w:t>
      </w:r>
      <w:r w:rsidR="009C29DE" w:rsidRPr="00694331">
        <w:rPr>
          <w:rFonts w:ascii="Arial" w:hAnsi="Arial" w:cs="Arial"/>
          <w:sz w:val="24"/>
          <w:szCs w:val="24"/>
        </w:rPr>
        <w:t xml:space="preserve">Derecho </w:t>
      </w:r>
      <w:r w:rsidRPr="00694331">
        <w:rPr>
          <w:rFonts w:ascii="Arial" w:hAnsi="Arial" w:cs="Arial"/>
          <w:sz w:val="24"/>
          <w:szCs w:val="24"/>
        </w:rPr>
        <w:t>Humano (Estocolmo, 1977)</w:t>
      </w:r>
      <w:r w:rsidR="009C29DE" w:rsidRPr="00694331">
        <w:rPr>
          <w:rFonts w:ascii="Arial" w:hAnsi="Arial" w:cs="Arial"/>
          <w:sz w:val="24"/>
          <w:szCs w:val="24"/>
        </w:rPr>
        <w:t xml:space="preserve">. Ésta es la primera gran Conferencia Internacional dedicada a problemas ambientales; plantea el Inicio del derecho internacional ambiental; y crea </w:t>
      </w:r>
      <w:r w:rsidR="0000765E" w:rsidRPr="00694331">
        <w:rPr>
          <w:rFonts w:ascii="Arial" w:hAnsi="Arial" w:cs="Arial"/>
          <w:sz w:val="24"/>
          <w:szCs w:val="24"/>
        </w:rPr>
        <w:t>el Programa de las Naciones Unidas para el Medio Ambiente</w:t>
      </w:r>
      <w:r w:rsidR="009C29DE" w:rsidRPr="00694331">
        <w:rPr>
          <w:rFonts w:ascii="Arial" w:hAnsi="Arial" w:cs="Arial"/>
          <w:sz w:val="24"/>
          <w:szCs w:val="24"/>
        </w:rPr>
        <w:t xml:space="preserve"> PNUMA, con la finalidad de fomentar y apoyar la cooperación en materia ambiental.</w:t>
      </w:r>
    </w:p>
    <w:p w:rsidR="00694331" w:rsidRPr="009C29DE" w:rsidRDefault="00694331" w:rsidP="00694331">
      <w:pPr>
        <w:pStyle w:val="Prrafodelista"/>
        <w:jc w:val="both"/>
      </w:pPr>
    </w:p>
    <w:p w:rsidR="00694331" w:rsidRPr="00694331" w:rsidRDefault="00773909" w:rsidP="00694331">
      <w:pPr>
        <w:pStyle w:val="Prrafodelista"/>
        <w:numPr>
          <w:ilvl w:val="0"/>
          <w:numId w:val="10"/>
        </w:numPr>
        <w:jc w:val="both"/>
        <w:rPr>
          <w:rFonts w:ascii="Arial" w:hAnsi="Arial" w:cs="Arial"/>
          <w:sz w:val="24"/>
          <w:szCs w:val="24"/>
        </w:rPr>
      </w:pPr>
      <w:r w:rsidRPr="00694331">
        <w:rPr>
          <w:rFonts w:ascii="Arial" w:hAnsi="Arial" w:cs="Arial"/>
          <w:sz w:val="24"/>
          <w:szCs w:val="24"/>
        </w:rPr>
        <w:t xml:space="preserve">Conferencia de las Naciones Unidas sobre el Medio Ambiente y el Desarrollo </w:t>
      </w:r>
      <w:r w:rsidR="003E4458" w:rsidRPr="00694331">
        <w:rPr>
          <w:rFonts w:ascii="Arial" w:hAnsi="Arial" w:cs="Arial"/>
          <w:sz w:val="24"/>
          <w:szCs w:val="24"/>
        </w:rPr>
        <w:t>(</w:t>
      </w:r>
      <w:r w:rsidR="00E15B0D" w:rsidRPr="00694331">
        <w:rPr>
          <w:rFonts w:ascii="Arial" w:hAnsi="Arial" w:cs="Arial"/>
          <w:sz w:val="24"/>
          <w:szCs w:val="24"/>
        </w:rPr>
        <w:t>Río de Janeiro,</w:t>
      </w:r>
      <w:r w:rsidR="003E4458" w:rsidRPr="00694331">
        <w:rPr>
          <w:rFonts w:ascii="Arial" w:hAnsi="Arial" w:cs="Arial"/>
          <w:sz w:val="24"/>
          <w:szCs w:val="24"/>
        </w:rPr>
        <w:t>1992)</w:t>
      </w:r>
      <w:r w:rsidR="007D46D3" w:rsidRPr="00694331">
        <w:rPr>
          <w:rFonts w:ascii="Arial" w:hAnsi="Arial" w:cs="Arial"/>
          <w:sz w:val="24"/>
          <w:szCs w:val="24"/>
        </w:rPr>
        <w:t xml:space="preserve">, en la que participaron 172 gobiernos, </w:t>
      </w:r>
      <w:r w:rsidR="007D46D3" w:rsidRPr="00694331">
        <w:rPr>
          <w:rFonts w:ascii="Arial" w:hAnsi="Arial" w:cs="Arial"/>
          <w:sz w:val="24"/>
          <w:szCs w:val="24"/>
        </w:rPr>
        <w:lastRenderedPageBreak/>
        <w:t xml:space="preserve">entre ellos 108 jefes de Estado o de Gobierno; 2.400 representantes de organizaciones no gubernamentales (ONG); y 17.000 personas en el Foro de ONG que se convocó paralelamente y al que se atribuyó estatus consultivo. En dicho encuentro fueron discutidos entre otros temas medio ambientales, </w:t>
      </w:r>
      <w:r w:rsidR="003E4458" w:rsidRPr="00694331">
        <w:rPr>
          <w:rFonts w:ascii="Arial" w:hAnsi="Arial" w:cs="Arial"/>
          <w:sz w:val="24"/>
          <w:szCs w:val="24"/>
        </w:rPr>
        <w:t xml:space="preserve">la creciente escasez de agua. El resultado de esta conferencia, fue el acuerdo sobre la </w:t>
      </w:r>
      <w:r w:rsidR="003E4458" w:rsidRPr="00694331">
        <w:rPr>
          <w:rFonts w:ascii="Arial" w:hAnsi="Arial" w:cs="Arial"/>
          <w:i/>
          <w:sz w:val="24"/>
          <w:szCs w:val="24"/>
        </w:rPr>
        <w:t>Convención Marco de las Naciones Unidas sobre el Cambio Climático</w:t>
      </w:r>
      <w:r w:rsidR="003E4458" w:rsidRPr="00694331">
        <w:rPr>
          <w:rFonts w:ascii="Arial" w:hAnsi="Arial" w:cs="Arial"/>
          <w:sz w:val="24"/>
          <w:szCs w:val="24"/>
        </w:rPr>
        <w:t xml:space="preserve">, que más tarde llevaría al </w:t>
      </w:r>
      <w:r w:rsidR="003E4458" w:rsidRPr="00694331">
        <w:rPr>
          <w:rFonts w:ascii="Arial" w:hAnsi="Arial" w:cs="Arial"/>
          <w:i/>
          <w:sz w:val="24"/>
          <w:szCs w:val="24"/>
        </w:rPr>
        <w:t>Protocolo de Kioto</w:t>
      </w:r>
      <w:r w:rsidR="003E4458" w:rsidRPr="00694331">
        <w:rPr>
          <w:rFonts w:ascii="Arial" w:hAnsi="Arial" w:cs="Arial"/>
          <w:sz w:val="24"/>
          <w:szCs w:val="24"/>
        </w:rPr>
        <w:t xml:space="preserve"> sobre el cambio climático</w:t>
      </w:r>
      <w:r w:rsidR="004B46AB" w:rsidRPr="00694331">
        <w:rPr>
          <w:rStyle w:val="Refdenotaalpie"/>
          <w:rFonts w:ascii="Arial" w:hAnsi="Arial" w:cs="Arial"/>
          <w:sz w:val="24"/>
          <w:szCs w:val="24"/>
        </w:rPr>
        <w:footnoteReference w:id="3"/>
      </w:r>
      <w:r w:rsidR="003E4458" w:rsidRPr="00694331">
        <w:rPr>
          <w:rFonts w:ascii="Arial" w:hAnsi="Arial" w:cs="Arial"/>
          <w:sz w:val="24"/>
          <w:szCs w:val="24"/>
        </w:rPr>
        <w:t>.</w:t>
      </w:r>
    </w:p>
    <w:p w:rsidR="00694331" w:rsidRPr="00694331" w:rsidRDefault="00694331" w:rsidP="00694331">
      <w:pPr>
        <w:pStyle w:val="Prrafodelista"/>
        <w:jc w:val="both"/>
        <w:rPr>
          <w:rFonts w:ascii="Arial" w:hAnsi="Arial" w:cs="Arial"/>
          <w:sz w:val="24"/>
          <w:szCs w:val="24"/>
        </w:rPr>
      </w:pPr>
    </w:p>
    <w:p w:rsidR="00694331" w:rsidRPr="00694331" w:rsidRDefault="0021795A" w:rsidP="00694331">
      <w:pPr>
        <w:pStyle w:val="Prrafodelista"/>
        <w:numPr>
          <w:ilvl w:val="0"/>
          <w:numId w:val="10"/>
        </w:numPr>
        <w:jc w:val="both"/>
        <w:rPr>
          <w:rFonts w:ascii="Arial" w:hAnsi="Arial" w:cs="Arial"/>
          <w:sz w:val="24"/>
          <w:szCs w:val="24"/>
        </w:rPr>
      </w:pPr>
      <w:r w:rsidRPr="00694331">
        <w:rPr>
          <w:rFonts w:ascii="Arial" w:hAnsi="Arial" w:cs="Arial"/>
          <w:sz w:val="24"/>
          <w:szCs w:val="24"/>
        </w:rPr>
        <w:t>“Declaración del Milenio”</w:t>
      </w:r>
      <w:r w:rsidR="00F13C84" w:rsidRPr="00694331">
        <w:rPr>
          <w:rFonts w:ascii="Arial" w:hAnsi="Arial" w:cs="Arial"/>
          <w:sz w:val="24"/>
          <w:szCs w:val="24"/>
        </w:rPr>
        <w:t>, (2000)</w:t>
      </w:r>
      <w:r w:rsidRPr="00694331">
        <w:rPr>
          <w:rFonts w:ascii="Arial" w:hAnsi="Arial" w:cs="Arial"/>
          <w:sz w:val="24"/>
          <w:szCs w:val="24"/>
        </w:rPr>
        <w:t>, por la que 160 jefes de Estado se comprometieron a impulsar políticas activas para que, en 2015, la cantidad de población sin acceso al agua potable sea reducida a la mitad. «Ninguna medida haría más por reducir las enfermedades y salvar vidas en los países en desarrollo que facilitar el acceso general al agua potable y a los servicios de saneamiento”, alertó entonces, casi como un ruego, Koffi Annan, secretario general de la ONU.</w:t>
      </w:r>
    </w:p>
    <w:p w:rsidR="00694331" w:rsidRPr="00694331" w:rsidRDefault="00694331" w:rsidP="00694331">
      <w:pPr>
        <w:pStyle w:val="Prrafodelista"/>
        <w:jc w:val="both"/>
        <w:rPr>
          <w:rFonts w:ascii="Arial" w:hAnsi="Arial" w:cs="Arial"/>
          <w:sz w:val="24"/>
          <w:szCs w:val="24"/>
        </w:rPr>
      </w:pPr>
    </w:p>
    <w:p w:rsidR="00F13C84" w:rsidRPr="00694331" w:rsidRDefault="00F13C84" w:rsidP="00694331">
      <w:pPr>
        <w:pStyle w:val="Prrafodelista"/>
        <w:numPr>
          <w:ilvl w:val="0"/>
          <w:numId w:val="10"/>
        </w:numPr>
        <w:jc w:val="both"/>
        <w:rPr>
          <w:rFonts w:ascii="Arial" w:hAnsi="Arial" w:cs="Arial"/>
          <w:sz w:val="24"/>
          <w:szCs w:val="24"/>
        </w:rPr>
      </w:pPr>
      <w:r w:rsidRPr="00694331">
        <w:rPr>
          <w:rFonts w:ascii="Arial" w:hAnsi="Arial" w:cs="Arial"/>
          <w:sz w:val="24"/>
          <w:szCs w:val="24"/>
        </w:rPr>
        <w:t>Cumbre Mundial sobre Desarrollo Sostenible (Johannesburgo, 2002), de la cual se derivó la Iniciativa Latinoamericana y Caribeña para el Desarrollo Sostenible.</w:t>
      </w:r>
    </w:p>
    <w:p w:rsidR="003654C3" w:rsidRPr="003654C3" w:rsidRDefault="005558BB" w:rsidP="003654C3">
      <w:pPr>
        <w:jc w:val="both"/>
        <w:rPr>
          <w:rFonts w:ascii="Arial" w:hAnsi="Arial" w:cs="Arial"/>
          <w:sz w:val="24"/>
          <w:szCs w:val="24"/>
        </w:rPr>
      </w:pPr>
      <w:r w:rsidRPr="00694331">
        <w:rPr>
          <w:rFonts w:ascii="Arial" w:hAnsi="Arial" w:cs="Arial"/>
          <w:sz w:val="24"/>
          <w:szCs w:val="24"/>
        </w:rPr>
        <w:t>Adicio</w:t>
      </w:r>
      <w:r>
        <w:rPr>
          <w:rFonts w:ascii="Arial" w:hAnsi="Arial" w:cs="Arial"/>
          <w:sz w:val="24"/>
          <w:szCs w:val="24"/>
        </w:rPr>
        <w:t>nalmente, a</w:t>
      </w:r>
      <w:r w:rsidR="003654C3" w:rsidRPr="003654C3">
        <w:rPr>
          <w:rFonts w:ascii="Arial" w:hAnsi="Arial" w:cs="Arial"/>
          <w:sz w:val="24"/>
          <w:szCs w:val="24"/>
        </w:rPr>
        <w:t xml:space="preserve"> la fecha ya son 6 los foros mundiales del agua realizados, el último </w:t>
      </w:r>
      <w:r w:rsidR="00E416C5">
        <w:rPr>
          <w:rFonts w:ascii="Arial" w:hAnsi="Arial" w:cs="Arial"/>
          <w:sz w:val="24"/>
          <w:szCs w:val="24"/>
        </w:rPr>
        <w:t>d</w:t>
      </w:r>
      <w:r w:rsidR="003654C3" w:rsidRPr="003654C3">
        <w:rPr>
          <w:rFonts w:ascii="Arial" w:hAnsi="Arial" w:cs="Arial"/>
          <w:sz w:val="24"/>
          <w:szCs w:val="24"/>
        </w:rPr>
        <w:t>el pasado 1</w:t>
      </w:r>
      <w:r w:rsidR="00E416C5">
        <w:rPr>
          <w:rFonts w:ascii="Arial" w:hAnsi="Arial" w:cs="Arial"/>
          <w:sz w:val="24"/>
          <w:szCs w:val="24"/>
        </w:rPr>
        <w:t>2 al 17</w:t>
      </w:r>
      <w:r w:rsidR="003654C3" w:rsidRPr="003654C3">
        <w:rPr>
          <w:rFonts w:ascii="Arial" w:hAnsi="Arial" w:cs="Arial"/>
          <w:sz w:val="24"/>
          <w:szCs w:val="24"/>
        </w:rPr>
        <w:t xml:space="preserve"> de Marzo</w:t>
      </w:r>
      <w:r w:rsidR="003654C3">
        <w:rPr>
          <w:rFonts w:ascii="Arial" w:hAnsi="Arial" w:cs="Arial"/>
          <w:sz w:val="24"/>
          <w:szCs w:val="24"/>
        </w:rPr>
        <w:t xml:space="preserve"> de 2012</w:t>
      </w:r>
      <w:r w:rsidR="003654C3" w:rsidRPr="003654C3">
        <w:rPr>
          <w:rFonts w:ascii="Arial" w:hAnsi="Arial" w:cs="Arial"/>
          <w:sz w:val="24"/>
          <w:szCs w:val="24"/>
        </w:rPr>
        <w:t xml:space="preserve"> en la ciudad de Marsella</w:t>
      </w:r>
      <w:r w:rsidR="00E416C5">
        <w:rPr>
          <w:rFonts w:ascii="Arial" w:hAnsi="Arial" w:cs="Arial"/>
          <w:sz w:val="24"/>
          <w:szCs w:val="24"/>
        </w:rPr>
        <w:t xml:space="preserve"> - Francia</w:t>
      </w:r>
      <w:r w:rsidR="003654C3" w:rsidRPr="003654C3">
        <w:rPr>
          <w:rFonts w:ascii="Arial" w:hAnsi="Arial" w:cs="Arial"/>
          <w:sz w:val="24"/>
          <w:szCs w:val="24"/>
        </w:rPr>
        <w:t xml:space="preserve">, teniendo como marco central un diálogo sobre el </w:t>
      </w:r>
      <w:r w:rsidR="003654C3" w:rsidRPr="003654C3">
        <w:rPr>
          <w:rFonts w:ascii="Arial" w:hAnsi="Arial" w:cs="Arial"/>
          <w:i/>
          <w:sz w:val="24"/>
          <w:szCs w:val="24"/>
        </w:rPr>
        <w:t>derecho al agua y al saneamiento en América</w:t>
      </w:r>
      <w:r w:rsidR="003654C3">
        <w:rPr>
          <w:rFonts w:ascii="Arial" w:hAnsi="Arial" w:cs="Arial"/>
          <w:i/>
          <w:sz w:val="24"/>
          <w:szCs w:val="24"/>
        </w:rPr>
        <w:t xml:space="preserve">, </w:t>
      </w:r>
      <w:r w:rsidR="003654C3">
        <w:rPr>
          <w:rFonts w:ascii="Arial" w:hAnsi="Arial" w:cs="Arial"/>
          <w:sz w:val="24"/>
          <w:szCs w:val="24"/>
        </w:rPr>
        <w:t>y en</w:t>
      </w:r>
      <w:r w:rsidR="003654C3" w:rsidRPr="003654C3">
        <w:rPr>
          <w:rFonts w:ascii="Arial" w:hAnsi="Arial" w:cs="Arial"/>
          <w:sz w:val="24"/>
          <w:szCs w:val="24"/>
        </w:rPr>
        <w:t xml:space="preserve"> donde se subrayaron los desafíos claves que deben superarse en todo el mundo para garantizar este derecho: la concentración de la población en zonas áridas, los efectos del cambio climático, los conflictos en torno a los usos del agua y el cumplimiento de los Objetivos del Milenio, garantizando tres dimensiones básicas: Disponibilidad, Calidad y Accesibilidad. </w:t>
      </w:r>
    </w:p>
    <w:p w:rsidR="005558BB" w:rsidRPr="000A48A1" w:rsidRDefault="005558BB" w:rsidP="005558BB">
      <w:pPr>
        <w:pStyle w:val="NormalWeb"/>
        <w:spacing w:line="276" w:lineRule="auto"/>
        <w:jc w:val="both"/>
        <w:rPr>
          <w:rFonts w:ascii="Arial" w:eastAsiaTheme="minorHAnsi" w:hAnsi="Arial" w:cs="Arial"/>
          <w:color w:val="auto"/>
          <w:lang w:eastAsia="en-US"/>
        </w:rPr>
      </w:pPr>
      <w:r>
        <w:rPr>
          <w:rFonts w:ascii="Arial" w:eastAsiaTheme="minorHAnsi" w:hAnsi="Arial" w:cs="Arial"/>
          <w:color w:val="auto"/>
          <w:lang w:eastAsia="en-US"/>
        </w:rPr>
        <w:t>Sin embargo</w:t>
      </w:r>
      <w:r w:rsidR="003654C3" w:rsidRPr="003654C3">
        <w:rPr>
          <w:rFonts w:ascii="Arial" w:eastAsiaTheme="minorHAnsi" w:hAnsi="Arial" w:cs="Arial"/>
          <w:color w:val="auto"/>
          <w:lang w:eastAsia="en-US"/>
        </w:rPr>
        <w:t>sólo cinco países reconocen un Derecho Humano al Agua y al Saneamiento en sus constituciones: Nicaragua, Uruguay, Bolivia, Ecuador y México.</w:t>
      </w:r>
      <w:r>
        <w:rPr>
          <w:rFonts w:ascii="Arial" w:eastAsiaTheme="minorHAnsi" w:hAnsi="Arial" w:cs="Arial"/>
          <w:color w:val="auto"/>
          <w:lang w:eastAsia="en-US"/>
        </w:rPr>
        <w:t xml:space="preserve"> Es precisamente por esta insuficiencia de esfuerzos políticos que </w:t>
      </w:r>
      <w:r w:rsidRPr="000A48A1">
        <w:rPr>
          <w:rFonts w:ascii="Arial" w:eastAsiaTheme="minorHAnsi" w:hAnsi="Arial" w:cs="Arial"/>
          <w:color w:val="auto"/>
          <w:lang w:eastAsia="en-US"/>
        </w:rPr>
        <w:t xml:space="preserve">la </w:t>
      </w:r>
      <w:r w:rsidRPr="000A48A1">
        <w:rPr>
          <w:rFonts w:ascii="Arial" w:eastAsiaTheme="minorHAnsi" w:hAnsi="Arial" w:cs="Arial"/>
          <w:color w:val="auto"/>
          <w:lang w:eastAsia="en-US"/>
        </w:rPr>
        <w:lastRenderedPageBreak/>
        <w:t xml:space="preserve">situación no ha logrado ser contrarrestada, sino por el contrario se ha ido agravando cada vez más. </w:t>
      </w:r>
    </w:p>
    <w:p w:rsidR="00A5253D" w:rsidRDefault="005558BB" w:rsidP="000A48A1">
      <w:pPr>
        <w:spacing w:after="0"/>
        <w:jc w:val="both"/>
        <w:rPr>
          <w:rFonts w:ascii="Arial" w:hAnsi="Arial" w:cs="Arial"/>
          <w:sz w:val="24"/>
        </w:rPr>
      </w:pPr>
      <w:r>
        <w:rPr>
          <w:rFonts w:ascii="Arial" w:hAnsi="Arial" w:cs="Arial"/>
          <w:sz w:val="24"/>
          <w:szCs w:val="24"/>
        </w:rPr>
        <w:t>L</w:t>
      </w:r>
      <w:r w:rsidR="00A5253D" w:rsidRPr="00A5253D">
        <w:rPr>
          <w:rFonts w:ascii="Arial" w:hAnsi="Arial" w:cs="Arial"/>
          <w:sz w:val="24"/>
          <w:szCs w:val="24"/>
        </w:rPr>
        <w:t>a explosión demográfica</w:t>
      </w:r>
      <w:r w:rsidR="00A5253D">
        <w:rPr>
          <w:rFonts w:ascii="Arial" w:hAnsi="Arial" w:cs="Arial"/>
          <w:sz w:val="24"/>
          <w:szCs w:val="24"/>
        </w:rPr>
        <w:t xml:space="preserve"> ha incrementado la</w:t>
      </w:r>
      <w:r w:rsidR="00A5253D" w:rsidRPr="00A5253D">
        <w:rPr>
          <w:rFonts w:ascii="Arial" w:hAnsi="Arial" w:cs="Arial"/>
          <w:sz w:val="24"/>
          <w:szCs w:val="24"/>
        </w:rPr>
        <w:t xml:space="preserve"> demanda cada vez más alta del líquido vital. Las principales causas que agravan la situación son el derroche indiscriminado de agua potable y la falta de herramientas legales para sancionar; el déficit de servicios básicos de abastecimiento y saneamiento, la degradación y </w:t>
      </w:r>
      <w:r w:rsidR="00A5253D" w:rsidRPr="00A5253D">
        <w:rPr>
          <w:rFonts w:ascii="Arial" w:hAnsi="Arial" w:cs="Arial"/>
          <w:sz w:val="24"/>
          <w:szCs w:val="24"/>
          <w:u w:val="single"/>
        </w:rPr>
        <w:t>contaminación de los cursos de agua superficiales</w:t>
      </w:r>
      <w:r w:rsidR="00A5253D" w:rsidRPr="00A5253D">
        <w:rPr>
          <w:rFonts w:ascii="Arial" w:hAnsi="Arial" w:cs="Arial"/>
          <w:sz w:val="24"/>
          <w:szCs w:val="24"/>
        </w:rPr>
        <w:t xml:space="preserve">, </w:t>
      </w:r>
      <w:r w:rsidR="00A5253D" w:rsidRPr="00A5253D">
        <w:rPr>
          <w:rFonts w:ascii="Arial" w:hAnsi="Arial" w:cs="Arial"/>
          <w:sz w:val="24"/>
          <w:szCs w:val="24"/>
          <w:u w:val="single"/>
        </w:rPr>
        <w:t>tanto por la descarga de efluentes urbanos como indust</w:t>
      </w:r>
      <w:r w:rsidR="000A48A1">
        <w:rPr>
          <w:rFonts w:ascii="Arial" w:hAnsi="Arial" w:cs="Arial"/>
          <w:sz w:val="24"/>
          <w:szCs w:val="24"/>
          <w:u w:val="single"/>
        </w:rPr>
        <w:t>riales; el manejo inadecuado de</w:t>
      </w:r>
      <w:r w:rsidR="00A5253D" w:rsidRPr="00A5253D">
        <w:rPr>
          <w:rFonts w:ascii="Arial" w:hAnsi="Arial" w:cs="Arial"/>
          <w:sz w:val="24"/>
          <w:szCs w:val="24"/>
          <w:u w:val="single"/>
        </w:rPr>
        <w:t xml:space="preserve"> las cuencas hidrográficas</w:t>
      </w:r>
      <w:r w:rsidR="00A5253D" w:rsidRPr="00A5253D">
        <w:rPr>
          <w:rFonts w:ascii="Arial" w:hAnsi="Arial" w:cs="Arial"/>
          <w:sz w:val="24"/>
          <w:szCs w:val="24"/>
        </w:rPr>
        <w:t>; la deforestación indiscriminada, entre otras</w:t>
      </w:r>
      <w:r w:rsidR="00A5253D">
        <w:rPr>
          <w:rStyle w:val="Refdenotaalpie"/>
          <w:rFonts w:ascii="Arial" w:hAnsi="Arial" w:cs="Arial"/>
          <w:sz w:val="24"/>
        </w:rPr>
        <w:footnoteReference w:id="4"/>
      </w:r>
      <w:r w:rsidR="00A5253D">
        <w:rPr>
          <w:rFonts w:ascii="Arial" w:hAnsi="Arial" w:cs="Arial"/>
          <w:sz w:val="24"/>
        </w:rPr>
        <w:t>.</w:t>
      </w:r>
    </w:p>
    <w:p w:rsidR="00A5253D" w:rsidRDefault="00A5253D" w:rsidP="00A5253D">
      <w:pPr>
        <w:spacing w:after="0"/>
        <w:jc w:val="both"/>
        <w:rPr>
          <w:rFonts w:ascii="Arial" w:hAnsi="Arial" w:cs="Arial"/>
          <w:sz w:val="24"/>
        </w:rPr>
      </w:pPr>
    </w:p>
    <w:p w:rsidR="00432435" w:rsidRDefault="00A5253D" w:rsidP="00A5253D">
      <w:pPr>
        <w:spacing w:after="0"/>
        <w:jc w:val="both"/>
        <w:rPr>
          <w:rFonts w:ascii="Arial" w:hAnsi="Arial" w:cs="Arial"/>
          <w:sz w:val="24"/>
          <w:szCs w:val="24"/>
        </w:rPr>
      </w:pPr>
      <w:r w:rsidRPr="00A5253D">
        <w:rPr>
          <w:rFonts w:ascii="Arial" w:hAnsi="Arial" w:cs="Arial"/>
          <w:sz w:val="24"/>
          <w:szCs w:val="24"/>
        </w:rPr>
        <w:t>A este panorama debe sumarse</w:t>
      </w:r>
      <w:r w:rsidR="00432435">
        <w:rPr>
          <w:rFonts w:ascii="Arial" w:hAnsi="Arial" w:cs="Arial"/>
          <w:sz w:val="24"/>
          <w:szCs w:val="24"/>
        </w:rPr>
        <w:t xml:space="preserve"> también </w:t>
      </w:r>
      <w:r>
        <w:rPr>
          <w:rFonts w:ascii="Arial" w:hAnsi="Arial" w:cs="Arial"/>
          <w:sz w:val="24"/>
          <w:szCs w:val="24"/>
        </w:rPr>
        <w:t>la contaminación de las aguas subterráneas</w:t>
      </w:r>
      <w:r w:rsidR="00432435">
        <w:rPr>
          <w:rFonts w:ascii="Arial" w:hAnsi="Arial" w:cs="Arial"/>
          <w:sz w:val="24"/>
          <w:szCs w:val="24"/>
        </w:rPr>
        <w:t>,</w:t>
      </w:r>
      <w:r>
        <w:rPr>
          <w:rFonts w:ascii="Arial" w:hAnsi="Arial" w:cs="Arial"/>
          <w:sz w:val="24"/>
          <w:szCs w:val="24"/>
        </w:rPr>
        <w:t xml:space="preserve"> consideradas como una de las pr</w:t>
      </w:r>
      <w:r w:rsidR="00432435">
        <w:rPr>
          <w:rFonts w:ascii="Arial" w:hAnsi="Arial" w:cs="Arial"/>
          <w:sz w:val="24"/>
          <w:szCs w:val="24"/>
        </w:rPr>
        <w:t>incipales fuentes de agua dulce</w:t>
      </w:r>
      <w:r>
        <w:rPr>
          <w:rFonts w:ascii="Arial" w:hAnsi="Arial" w:cs="Arial"/>
          <w:sz w:val="24"/>
          <w:szCs w:val="24"/>
        </w:rPr>
        <w:t xml:space="preserve"> de la cual puede obtenerse líquido potable apto para el consumo humano.</w:t>
      </w:r>
      <w:r w:rsidR="00565BC3">
        <w:rPr>
          <w:rFonts w:ascii="Arial" w:hAnsi="Arial" w:cs="Arial"/>
          <w:sz w:val="24"/>
          <w:szCs w:val="24"/>
        </w:rPr>
        <w:t xml:space="preserve"> Estás se encuentran </w:t>
      </w:r>
      <w:r>
        <w:rPr>
          <w:rFonts w:ascii="Arial" w:hAnsi="Arial" w:cs="Arial"/>
          <w:sz w:val="24"/>
          <w:szCs w:val="24"/>
        </w:rPr>
        <w:t>expuestas a procesos contaminantes</w:t>
      </w:r>
      <w:r w:rsidR="00881BFD">
        <w:rPr>
          <w:rFonts w:ascii="Arial" w:hAnsi="Arial" w:cs="Arial"/>
          <w:sz w:val="24"/>
          <w:szCs w:val="24"/>
        </w:rPr>
        <w:t xml:space="preserve">, como consecuencia de </w:t>
      </w:r>
      <w:r>
        <w:rPr>
          <w:rFonts w:ascii="Arial" w:hAnsi="Arial" w:cs="Arial"/>
          <w:sz w:val="24"/>
          <w:szCs w:val="24"/>
        </w:rPr>
        <w:t xml:space="preserve">la filtración de residuos a través del suelo, los cuales tienen como origen </w:t>
      </w:r>
      <w:r w:rsidR="00881BFD">
        <w:rPr>
          <w:rFonts w:ascii="Arial" w:hAnsi="Arial" w:cs="Arial"/>
          <w:sz w:val="24"/>
          <w:szCs w:val="24"/>
        </w:rPr>
        <w:t>las actividades humanas</w:t>
      </w:r>
      <w:r w:rsidR="00DE044A">
        <w:rPr>
          <w:rFonts w:ascii="Arial" w:hAnsi="Arial" w:cs="Arial"/>
          <w:sz w:val="24"/>
          <w:szCs w:val="24"/>
        </w:rPr>
        <w:t xml:space="preserve"> de tipo industrial, por vertidos urbanos, agricultura</w:t>
      </w:r>
      <w:r w:rsidR="00B26750">
        <w:rPr>
          <w:rFonts w:ascii="Arial" w:hAnsi="Arial" w:cs="Arial"/>
          <w:sz w:val="24"/>
          <w:szCs w:val="24"/>
        </w:rPr>
        <w:t xml:space="preserve"> y </w:t>
      </w:r>
      <w:r w:rsidR="00DE044A">
        <w:rPr>
          <w:rFonts w:ascii="Arial" w:hAnsi="Arial" w:cs="Arial"/>
          <w:sz w:val="24"/>
          <w:szCs w:val="24"/>
        </w:rPr>
        <w:t>ganadería</w:t>
      </w:r>
      <w:r w:rsidR="00FE1C3B">
        <w:rPr>
          <w:rFonts w:ascii="Arial" w:hAnsi="Arial" w:cs="Arial"/>
          <w:sz w:val="24"/>
          <w:szCs w:val="24"/>
        </w:rPr>
        <w:t xml:space="preserve"> por ejemplo.</w:t>
      </w:r>
    </w:p>
    <w:p w:rsidR="00D007AE" w:rsidRDefault="00D007AE" w:rsidP="00A5253D">
      <w:pPr>
        <w:spacing w:after="0"/>
        <w:jc w:val="both"/>
        <w:rPr>
          <w:rFonts w:ascii="Arial" w:hAnsi="Arial" w:cs="Arial"/>
          <w:sz w:val="24"/>
          <w:szCs w:val="24"/>
        </w:rPr>
      </w:pPr>
    </w:p>
    <w:p w:rsidR="00D007AE" w:rsidRDefault="00D007AE" w:rsidP="00D007AE">
      <w:pPr>
        <w:spacing w:after="0"/>
        <w:jc w:val="both"/>
        <w:rPr>
          <w:rFonts w:ascii="Arial" w:hAnsi="Arial" w:cs="Arial"/>
          <w:sz w:val="24"/>
          <w:szCs w:val="24"/>
        </w:rPr>
      </w:pPr>
      <w:r>
        <w:rPr>
          <w:rFonts w:ascii="Arial" w:hAnsi="Arial" w:cs="Arial"/>
          <w:sz w:val="24"/>
          <w:szCs w:val="24"/>
        </w:rPr>
        <w:t xml:space="preserve">Son variados los casos </w:t>
      </w:r>
      <w:r w:rsidR="00E62C63">
        <w:rPr>
          <w:rFonts w:ascii="Arial" w:hAnsi="Arial" w:cs="Arial"/>
          <w:sz w:val="24"/>
          <w:szCs w:val="24"/>
        </w:rPr>
        <w:t xml:space="preserve">que se registran tan solo en América Latina, </w:t>
      </w:r>
      <w:r>
        <w:rPr>
          <w:rFonts w:ascii="Arial" w:hAnsi="Arial" w:cs="Arial"/>
          <w:sz w:val="24"/>
          <w:szCs w:val="24"/>
        </w:rPr>
        <w:t xml:space="preserve">acerca de impactos ambientales </w:t>
      </w:r>
      <w:r w:rsidRPr="00A95037">
        <w:rPr>
          <w:rFonts w:ascii="Arial" w:hAnsi="Arial" w:cs="Arial"/>
          <w:sz w:val="24"/>
          <w:szCs w:val="24"/>
          <w:u w:val="single"/>
        </w:rPr>
        <w:t>irreversibles</w:t>
      </w:r>
      <w:r>
        <w:rPr>
          <w:rFonts w:ascii="Arial" w:hAnsi="Arial" w:cs="Arial"/>
          <w:sz w:val="24"/>
          <w:szCs w:val="24"/>
        </w:rPr>
        <w:t xml:space="preserve"> sobre las fuentes de agua potables</w:t>
      </w:r>
      <w:r w:rsidR="00E62C63">
        <w:rPr>
          <w:rFonts w:ascii="Arial" w:hAnsi="Arial" w:cs="Arial"/>
          <w:sz w:val="24"/>
          <w:szCs w:val="24"/>
        </w:rPr>
        <w:t>, algunos se citan a continuación</w:t>
      </w:r>
      <w:r>
        <w:rPr>
          <w:rFonts w:ascii="Arial" w:hAnsi="Arial" w:cs="Arial"/>
          <w:sz w:val="24"/>
          <w:szCs w:val="24"/>
        </w:rPr>
        <w:t xml:space="preserve">:  </w:t>
      </w:r>
    </w:p>
    <w:p w:rsidR="00D007AE" w:rsidRDefault="00D007AE" w:rsidP="00D007AE">
      <w:pPr>
        <w:spacing w:after="0"/>
        <w:jc w:val="both"/>
        <w:rPr>
          <w:rFonts w:ascii="Arial" w:hAnsi="Arial" w:cs="Arial"/>
          <w:sz w:val="24"/>
          <w:szCs w:val="24"/>
        </w:rPr>
      </w:pPr>
    </w:p>
    <w:p w:rsidR="00D007AE" w:rsidRDefault="00D007AE" w:rsidP="00D007AE">
      <w:pPr>
        <w:spacing w:after="0"/>
        <w:jc w:val="both"/>
        <w:rPr>
          <w:rFonts w:ascii="Arial" w:hAnsi="Arial" w:cs="Arial"/>
          <w:sz w:val="24"/>
          <w:szCs w:val="24"/>
        </w:rPr>
      </w:pPr>
      <w:r>
        <w:rPr>
          <w:rFonts w:ascii="Arial" w:hAnsi="Arial" w:cs="Arial"/>
          <w:sz w:val="24"/>
          <w:szCs w:val="24"/>
        </w:rPr>
        <w:t xml:space="preserve">En (Catamarca, Argentina), existe la mina </w:t>
      </w:r>
      <w:r w:rsidRPr="00D007AE">
        <w:rPr>
          <w:rFonts w:ascii="Arial" w:hAnsi="Arial" w:cs="Arial"/>
          <w:sz w:val="24"/>
          <w:szCs w:val="24"/>
        </w:rPr>
        <w:t>Bajo de la Alumbrera</w:t>
      </w:r>
      <w:r>
        <w:rPr>
          <w:rFonts w:ascii="Arial" w:hAnsi="Arial" w:cs="Arial"/>
          <w:sz w:val="24"/>
          <w:szCs w:val="24"/>
        </w:rPr>
        <w:t xml:space="preserve">, un </w:t>
      </w:r>
      <w:r w:rsidRPr="00D007AE">
        <w:rPr>
          <w:rFonts w:ascii="Arial" w:hAnsi="Arial" w:cs="Arial"/>
          <w:sz w:val="24"/>
          <w:szCs w:val="24"/>
        </w:rPr>
        <w:t>mega-proyecto de explotación a cielo abierto</w:t>
      </w:r>
      <w:r>
        <w:rPr>
          <w:rFonts w:ascii="Arial" w:hAnsi="Arial" w:cs="Arial"/>
          <w:sz w:val="24"/>
          <w:szCs w:val="24"/>
        </w:rPr>
        <w:t xml:space="preserve"> de cobre y oro desde 2003</w:t>
      </w:r>
      <w:r w:rsidRPr="00D007AE">
        <w:rPr>
          <w:rFonts w:ascii="Arial" w:hAnsi="Arial" w:cs="Arial"/>
          <w:sz w:val="24"/>
          <w:szCs w:val="24"/>
        </w:rPr>
        <w:t xml:space="preserve">. Está situada en una región muy árida (con un promedio de precipitaciones de 150 mm anuales), </w:t>
      </w:r>
      <w:r>
        <w:rPr>
          <w:rFonts w:ascii="Arial" w:hAnsi="Arial" w:cs="Arial"/>
          <w:sz w:val="24"/>
          <w:szCs w:val="24"/>
        </w:rPr>
        <w:t>pero su funcionamiento demanda el consumo de</w:t>
      </w:r>
      <w:r w:rsidRPr="00D007AE">
        <w:rPr>
          <w:rFonts w:ascii="Arial" w:hAnsi="Arial" w:cs="Arial"/>
          <w:sz w:val="24"/>
          <w:szCs w:val="24"/>
        </w:rPr>
        <w:t xml:space="preserve"> 100 millones de litros de agua diarios para sus procesos de lixiviación y transporte de concentrados. El uso abusivo de recursos hídricos ha afectado el nivel de las aguas superficiales y subterráneas, provocando un grave impacto negativo sobre las actividades</w:t>
      </w:r>
      <w:r w:rsidR="002451FE">
        <w:rPr>
          <w:rFonts w:ascii="Arial" w:hAnsi="Arial" w:cs="Arial"/>
          <w:sz w:val="24"/>
          <w:szCs w:val="24"/>
        </w:rPr>
        <w:t>,</w:t>
      </w:r>
      <w:r w:rsidRPr="00D007AE">
        <w:rPr>
          <w:rFonts w:ascii="Arial" w:hAnsi="Arial" w:cs="Arial"/>
          <w:sz w:val="24"/>
          <w:szCs w:val="24"/>
        </w:rPr>
        <w:t xml:space="preserve"> agro ganaderas de la zona</w:t>
      </w:r>
      <w:r w:rsidR="00353A74">
        <w:rPr>
          <w:rStyle w:val="Refdenotaalpie"/>
          <w:rFonts w:ascii="Arial" w:hAnsi="Arial" w:cs="Arial"/>
          <w:sz w:val="24"/>
          <w:szCs w:val="24"/>
        </w:rPr>
        <w:footnoteReference w:id="5"/>
      </w:r>
      <w:r w:rsidRPr="00D007AE">
        <w:rPr>
          <w:rFonts w:ascii="Arial" w:hAnsi="Arial" w:cs="Arial"/>
          <w:sz w:val="24"/>
          <w:szCs w:val="24"/>
        </w:rPr>
        <w:t>.</w:t>
      </w:r>
    </w:p>
    <w:p w:rsidR="00D007AE" w:rsidRDefault="00D007AE" w:rsidP="00D007AE">
      <w:pPr>
        <w:spacing w:after="0"/>
        <w:jc w:val="both"/>
        <w:rPr>
          <w:rFonts w:ascii="Arial" w:hAnsi="Arial" w:cs="Arial"/>
          <w:sz w:val="24"/>
          <w:szCs w:val="24"/>
        </w:rPr>
      </w:pPr>
    </w:p>
    <w:p w:rsidR="00C94DBE" w:rsidRDefault="00C94DBE" w:rsidP="00C94DBE">
      <w:pPr>
        <w:jc w:val="both"/>
        <w:rPr>
          <w:rFonts w:ascii="Arial" w:hAnsi="Arial" w:cs="Arial"/>
          <w:sz w:val="24"/>
          <w:szCs w:val="24"/>
        </w:rPr>
      </w:pPr>
      <w:r>
        <w:rPr>
          <w:rFonts w:ascii="Arial" w:hAnsi="Arial" w:cs="Arial"/>
          <w:sz w:val="24"/>
          <w:szCs w:val="24"/>
        </w:rPr>
        <w:t>En (</w:t>
      </w:r>
      <w:r w:rsidRPr="00C94DBE">
        <w:rPr>
          <w:rFonts w:ascii="Arial" w:hAnsi="Arial" w:cs="Arial"/>
          <w:sz w:val="24"/>
          <w:szCs w:val="24"/>
        </w:rPr>
        <w:t>Espinar, Perú</w:t>
      </w:r>
      <w:r>
        <w:rPr>
          <w:rFonts w:ascii="Arial" w:hAnsi="Arial" w:cs="Arial"/>
          <w:sz w:val="24"/>
          <w:szCs w:val="24"/>
        </w:rPr>
        <w:t>)</w:t>
      </w:r>
      <w:r w:rsidR="00427AF3">
        <w:rPr>
          <w:rFonts w:ascii="Arial" w:hAnsi="Arial" w:cs="Arial"/>
          <w:sz w:val="24"/>
          <w:szCs w:val="24"/>
        </w:rPr>
        <w:t>,</w:t>
      </w:r>
      <w:r>
        <w:rPr>
          <w:rFonts w:ascii="Arial" w:hAnsi="Arial" w:cs="Arial"/>
          <w:sz w:val="24"/>
          <w:szCs w:val="24"/>
        </w:rPr>
        <w:t>El</w:t>
      </w:r>
      <w:r w:rsidRPr="00C94DBE">
        <w:rPr>
          <w:rFonts w:ascii="Arial" w:hAnsi="Arial" w:cs="Arial"/>
          <w:sz w:val="24"/>
          <w:szCs w:val="24"/>
        </w:rPr>
        <w:t xml:space="preserve"> Mega- Proyecto Tintaya de</w:t>
      </w:r>
      <w:r>
        <w:rPr>
          <w:rFonts w:ascii="Arial" w:hAnsi="Arial" w:cs="Arial"/>
          <w:sz w:val="24"/>
          <w:szCs w:val="24"/>
        </w:rPr>
        <w:t xml:space="preserve"> explotación</w:t>
      </w:r>
      <w:r w:rsidRPr="00C94DBE">
        <w:rPr>
          <w:rFonts w:ascii="Arial" w:hAnsi="Arial" w:cs="Arial"/>
          <w:sz w:val="24"/>
          <w:szCs w:val="24"/>
        </w:rPr>
        <w:t xml:space="preserve"> cobre </w:t>
      </w:r>
      <w:r w:rsidR="00427AF3">
        <w:rPr>
          <w:rFonts w:ascii="Arial" w:hAnsi="Arial" w:cs="Arial"/>
          <w:sz w:val="24"/>
          <w:szCs w:val="24"/>
        </w:rPr>
        <w:t xml:space="preserve">desde </w:t>
      </w:r>
      <w:r w:rsidRPr="00C94DBE">
        <w:rPr>
          <w:rFonts w:ascii="Arial" w:hAnsi="Arial" w:cs="Arial"/>
          <w:sz w:val="24"/>
          <w:szCs w:val="24"/>
        </w:rPr>
        <w:t xml:space="preserve">2006, </w:t>
      </w:r>
      <w:r w:rsidR="00427AF3">
        <w:rPr>
          <w:rFonts w:ascii="Arial" w:hAnsi="Arial" w:cs="Arial"/>
          <w:sz w:val="24"/>
          <w:szCs w:val="24"/>
        </w:rPr>
        <w:t xml:space="preserve">su </w:t>
      </w:r>
      <w:r w:rsidRPr="00C94DBE">
        <w:rPr>
          <w:rFonts w:ascii="Arial" w:hAnsi="Arial" w:cs="Arial"/>
          <w:sz w:val="24"/>
          <w:szCs w:val="24"/>
        </w:rPr>
        <w:t xml:space="preserve">empresa </w:t>
      </w:r>
      <w:r w:rsidR="00427AF3">
        <w:rPr>
          <w:rFonts w:ascii="Arial" w:hAnsi="Arial" w:cs="Arial"/>
          <w:sz w:val="24"/>
          <w:szCs w:val="24"/>
        </w:rPr>
        <w:t xml:space="preserve">promotora </w:t>
      </w:r>
      <w:r w:rsidRPr="00C94DBE">
        <w:rPr>
          <w:rFonts w:ascii="Arial" w:hAnsi="Arial" w:cs="Arial"/>
          <w:sz w:val="24"/>
          <w:szCs w:val="24"/>
        </w:rPr>
        <w:t xml:space="preserve">afronta un proceso judicial abierto por una denuncia penal </w:t>
      </w:r>
      <w:r w:rsidRPr="00C94DBE">
        <w:rPr>
          <w:rFonts w:ascii="Arial" w:hAnsi="Arial" w:cs="Arial"/>
          <w:sz w:val="24"/>
          <w:szCs w:val="24"/>
        </w:rPr>
        <w:lastRenderedPageBreak/>
        <w:t xml:space="preserve">de la Fiscalía Especial de Medio Ambiente de Cusco por la contaminación de los dos principales cursos de agua de la Provincia </w:t>
      </w:r>
      <w:r w:rsidR="00427AF3">
        <w:rPr>
          <w:rFonts w:ascii="Arial" w:hAnsi="Arial" w:cs="Arial"/>
          <w:sz w:val="24"/>
          <w:szCs w:val="24"/>
        </w:rPr>
        <w:t>de Espinar, los ríos Salado y C</w:t>
      </w:r>
      <w:r w:rsidRPr="00C94DBE">
        <w:rPr>
          <w:rFonts w:ascii="Arial" w:hAnsi="Arial" w:cs="Arial"/>
          <w:sz w:val="24"/>
          <w:szCs w:val="24"/>
        </w:rPr>
        <w:t>añipia. En la denuncia, la Fiscalía ha presentado pruebas de contaminación de aguas por exceso de aluminio, arsénico, hierro, molibdeno y otros metales, así como de la contaminación de suelos con antimonio, arsénico, cobre y mercurio. Se han registrado una gran proporción de la población con plomo en sangre, aumento de enfermedades respiratorias y afectación a la ganadería y la piscicultura local</w:t>
      </w:r>
      <w:r w:rsidR="00601D07">
        <w:rPr>
          <w:rStyle w:val="Refdenotaalpie"/>
          <w:rFonts w:ascii="Arial" w:hAnsi="Arial" w:cs="Arial"/>
          <w:sz w:val="24"/>
          <w:szCs w:val="24"/>
        </w:rPr>
        <w:footnoteReference w:id="6"/>
      </w:r>
      <w:r w:rsidRPr="00C94DBE">
        <w:rPr>
          <w:rFonts w:ascii="Arial" w:hAnsi="Arial" w:cs="Arial"/>
          <w:sz w:val="24"/>
          <w:szCs w:val="24"/>
        </w:rPr>
        <w:t>.</w:t>
      </w:r>
    </w:p>
    <w:p w:rsidR="00A50C74" w:rsidRDefault="00432435" w:rsidP="00A5253D">
      <w:pPr>
        <w:spacing w:after="0"/>
        <w:jc w:val="both"/>
        <w:rPr>
          <w:rFonts w:ascii="Arial" w:hAnsi="Arial" w:cs="Arial"/>
          <w:sz w:val="24"/>
          <w:szCs w:val="24"/>
        </w:rPr>
      </w:pPr>
      <w:r>
        <w:rPr>
          <w:rFonts w:ascii="Arial" w:hAnsi="Arial" w:cs="Arial"/>
          <w:sz w:val="24"/>
          <w:szCs w:val="24"/>
        </w:rPr>
        <w:t xml:space="preserve">En el caso de Colombia, </w:t>
      </w:r>
      <w:r w:rsidR="00D007AE">
        <w:rPr>
          <w:rFonts w:ascii="Arial" w:hAnsi="Arial" w:cs="Arial"/>
          <w:sz w:val="24"/>
          <w:szCs w:val="24"/>
        </w:rPr>
        <w:t xml:space="preserve">se </w:t>
      </w:r>
      <w:r w:rsidR="006139A0">
        <w:rPr>
          <w:rFonts w:ascii="Arial" w:hAnsi="Arial" w:cs="Arial"/>
          <w:sz w:val="24"/>
          <w:szCs w:val="24"/>
        </w:rPr>
        <w:t>pueden mencionar algunos de los</w:t>
      </w:r>
      <w:r w:rsidR="00D007AE">
        <w:rPr>
          <w:rFonts w:ascii="Arial" w:hAnsi="Arial" w:cs="Arial"/>
          <w:sz w:val="24"/>
          <w:szCs w:val="24"/>
        </w:rPr>
        <w:t xml:space="preserve"> más significativos, sin ser infortunadamente los únicos:</w:t>
      </w:r>
    </w:p>
    <w:p w:rsidR="00D007AE" w:rsidRDefault="00D007AE" w:rsidP="00A5253D">
      <w:pPr>
        <w:spacing w:after="0"/>
        <w:jc w:val="both"/>
        <w:rPr>
          <w:rFonts w:ascii="Arial" w:hAnsi="Arial" w:cs="Arial"/>
          <w:sz w:val="24"/>
          <w:szCs w:val="24"/>
        </w:rPr>
      </w:pPr>
    </w:p>
    <w:p w:rsidR="00FC6D34" w:rsidRDefault="00FC6D34" w:rsidP="00A5253D">
      <w:pPr>
        <w:spacing w:after="0"/>
        <w:jc w:val="both"/>
        <w:rPr>
          <w:rFonts w:ascii="Arial" w:hAnsi="Arial" w:cs="Arial"/>
          <w:sz w:val="24"/>
          <w:szCs w:val="24"/>
        </w:rPr>
      </w:pPr>
      <w:r w:rsidRPr="00FC6D34">
        <w:rPr>
          <w:rFonts w:ascii="Arial" w:hAnsi="Arial" w:cs="Arial"/>
          <w:sz w:val="24"/>
          <w:szCs w:val="24"/>
        </w:rPr>
        <w:t>Uno de ellos se refiere</w:t>
      </w:r>
      <w:r>
        <w:rPr>
          <w:rFonts w:ascii="Arial" w:hAnsi="Arial" w:cs="Arial"/>
          <w:sz w:val="24"/>
          <w:szCs w:val="24"/>
        </w:rPr>
        <w:t xml:space="preserve"> a la contaminación progresiva que se ha venido presentando en el </w:t>
      </w:r>
      <w:r w:rsidRPr="00957712">
        <w:rPr>
          <w:rFonts w:ascii="Arial" w:hAnsi="Arial" w:cs="Arial"/>
          <w:i/>
          <w:sz w:val="24"/>
          <w:szCs w:val="24"/>
        </w:rPr>
        <w:t xml:space="preserve">Páramo de </w:t>
      </w:r>
      <w:r w:rsidR="00FC05D5" w:rsidRPr="00957712">
        <w:rPr>
          <w:rFonts w:ascii="Arial" w:hAnsi="Arial" w:cs="Arial"/>
          <w:i/>
          <w:sz w:val="24"/>
          <w:szCs w:val="24"/>
        </w:rPr>
        <w:t>Santurbán</w:t>
      </w:r>
      <w:r w:rsidR="00D042BC">
        <w:rPr>
          <w:rFonts w:ascii="Arial" w:hAnsi="Arial" w:cs="Arial"/>
          <w:sz w:val="24"/>
          <w:szCs w:val="24"/>
        </w:rPr>
        <w:t>(Santander)</w:t>
      </w:r>
      <w:r w:rsidR="00432435">
        <w:rPr>
          <w:rFonts w:ascii="Arial" w:hAnsi="Arial" w:cs="Arial"/>
          <w:sz w:val="24"/>
          <w:szCs w:val="24"/>
        </w:rPr>
        <w:t xml:space="preserve">, pues según autoridades académicas y ambientales del departamento, existen </w:t>
      </w:r>
      <w:r w:rsidR="00432435" w:rsidRPr="00432435">
        <w:rPr>
          <w:rFonts w:ascii="Arial" w:hAnsi="Arial" w:cs="Arial"/>
          <w:sz w:val="24"/>
          <w:szCs w:val="24"/>
        </w:rPr>
        <w:t>registros históricos de las aguas que consume la gente en Bucaramanga,</w:t>
      </w:r>
      <w:r w:rsidR="00432435">
        <w:rPr>
          <w:rFonts w:ascii="Arial" w:hAnsi="Arial" w:cs="Arial"/>
          <w:sz w:val="24"/>
          <w:szCs w:val="24"/>
        </w:rPr>
        <w:t xml:space="preserve"> donde</w:t>
      </w:r>
      <w:r w:rsidR="00432435" w:rsidRPr="00432435">
        <w:rPr>
          <w:rFonts w:ascii="Arial" w:hAnsi="Arial" w:cs="Arial"/>
          <w:sz w:val="24"/>
          <w:szCs w:val="24"/>
        </w:rPr>
        <w:t xml:space="preserve"> hay periodos en que la cantidad de cianuro y de mercurio aparecen por encima de los límites  permisibles</w:t>
      </w:r>
      <w:r w:rsidR="00432435">
        <w:rPr>
          <w:rFonts w:ascii="Arial" w:hAnsi="Arial" w:cs="Arial"/>
          <w:sz w:val="24"/>
          <w:szCs w:val="24"/>
        </w:rPr>
        <w:t>,</w:t>
      </w:r>
      <w:r w:rsidR="00B87904">
        <w:rPr>
          <w:rFonts w:ascii="Arial" w:hAnsi="Arial" w:cs="Arial"/>
          <w:sz w:val="24"/>
          <w:szCs w:val="24"/>
        </w:rPr>
        <w:t xml:space="preserve"> todo</w:t>
      </w:r>
      <w:r w:rsidR="00432435">
        <w:rPr>
          <w:rFonts w:ascii="Arial" w:hAnsi="Arial" w:cs="Arial"/>
          <w:sz w:val="24"/>
          <w:szCs w:val="24"/>
        </w:rPr>
        <w:t xml:space="preserve"> como consecuencia de la minería informal</w:t>
      </w:r>
      <w:r w:rsidR="00EE5690">
        <w:rPr>
          <w:rStyle w:val="Refdenotaalpie"/>
          <w:rFonts w:ascii="Arial" w:hAnsi="Arial" w:cs="Arial"/>
          <w:sz w:val="24"/>
          <w:szCs w:val="24"/>
        </w:rPr>
        <w:footnoteReference w:id="7"/>
      </w:r>
      <w:r w:rsidR="00432435" w:rsidRPr="00432435">
        <w:rPr>
          <w:rFonts w:ascii="Arial" w:hAnsi="Arial" w:cs="Arial"/>
          <w:sz w:val="24"/>
          <w:szCs w:val="24"/>
        </w:rPr>
        <w:t>.</w:t>
      </w:r>
    </w:p>
    <w:p w:rsidR="00281960" w:rsidRDefault="00281960" w:rsidP="00A5253D">
      <w:pPr>
        <w:spacing w:after="0"/>
        <w:jc w:val="both"/>
        <w:rPr>
          <w:rFonts w:ascii="Arial" w:hAnsi="Arial" w:cs="Arial"/>
          <w:sz w:val="24"/>
          <w:szCs w:val="24"/>
        </w:rPr>
      </w:pPr>
    </w:p>
    <w:p w:rsidR="00281960" w:rsidRDefault="00957712" w:rsidP="00A5253D">
      <w:pPr>
        <w:spacing w:after="0"/>
        <w:jc w:val="both"/>
        <w:rPr>
          <w:rFonts w:ascii="Arial" w:hAnsi="Arial" w:cs="Arial"/>
          <w:sz w:val="24"/>
          <w:szCs w:val="24"/>
        </w:rPr>
      </w:pPr>
      <w:r>
        <w:rPr>
          <w:rFonts w:ascii="Arial" w:hAnsi="Arial" w:cs="Arial"/>
          <w:sz w:val="24"/>
          <w:szCs w:val="24"/>
        </w:rPr>
        <w:t xml:space="preserve">Otro caso es el de </w:t>
      </w:r>
      <w:r w:rsidRPr="00957712">
        <w:rPr>
          <w:rFonts w:ascii="Arial" w:hAnsi="Arial" w:cs="Arial"/>
          <w:i/>
          <w:sz w:val="24"/>
          <w:szCs w:val="24"/>
        </w:rPr>
        <w:t>El Cerrejón</w:t>
      </w:r>
      <w:r>
        <w:rPr>
          <w:rFonts w:ascii="Arial" w:hAnsi="Arial" w:cs="Arial"/>
          <w:sz w:val="24"/>
          <w:szCs w:val="24"/>
        </w:rPr>
        <w:t>(Guajira</w:t>
      </w:r>
      <w:r w:rsidRPr="00957712">
        <w:rPr>
          <w:rFonts w:ascii="Arial" w:hAnsi="Arial" w:cs="Arial"/>
          <w:sz w:val="24"/>
          <w:szCs w:val="24"/>
        </w:rPr>
        <w:t xml:space="preserve">) </w:t>
      </w:r>
      <w:r>
        <w:rPr>
          <w:rFonts w:ascii="Arial" w:hAnsi="Arial" w:cs="Arial"/>
          <w:sz w:val="24"/>
          <w:szCs w:val="24"/>
        </w:rPr>
        <w:t>que siendo una</w:t>
      </w:r>
      <w:r w:rsidRPr="00957712">
        <w:rPr>
          <w:rFonts w:ascii="Arial" w:hAnsi="Arial" w:cs="Arial"/>
          <w:sz w:val="24"/>
          <w:szCs w:val="24"/>
        </w:rPr>
        <w:t xml:space="preserve"> mega-explotación de carbón, ha provocado un grave deterioro de la calidad y cantidad del agua, afectando la estructura y el caudal del río</w:t>
      </w:r>
      <w:r w:rsidRPr="00957712">
        <w:rPr>
          <w:rFonts w:ascii="Arial" w:hAnsi="Arial" w:cs="Arial"/>
          <w:i/>
          <w:sz w:val="24"/>
          <w:szCs w:val="24"/>
        </w:rPr>
        <w:t xml:space="preserve"> Ranchería</w:t>
      </w:r>
      <w:r w:rsidRPr="00957712">
        <w:rPr>
          <w:rFonts w:ascii="Arial" w:hAnsi="Arial" w:cs="Arial"/>
          <w:sz w:val="24"/>
          <w:szCs w:val="24"/>
        </w:rPr>
        <w:t>, principal curso de agua de la zona. La gran cantidad de emisiones contaminantes (carbón, sílice, metales pesados, etc.) por agua y aire ha provocado el anegamiento de suelos productivos, el fuerte incremento de casos de plumbemia</w:t>
      </w:r>
      <w:r w:rsidR="00296112">
        <w:rPr>
          <w:rFonts w:ascii="Arial" w:hAnsi="Arial" w:cs="Arial"/>
          <w:sz w:val="24"/>
          <w:szCs w:val="24"/>
        </w:rPr>
        <w:t xml:space="preserve"> (intoxicación por plomo)</w:t>
      </w:r>
      <w:r w:rsidRPr="00957712">
        <w:rPr>
          <w:rFonts w:ascii="Arial" w:hAnsi="Arial" w:cs="Arial"/>
          <w:sz w:val="24"/>
          <w:szCs w:val="24"/>
        </w:rPr>
        <w:t>, silicosis y manifestaciones cancerígenas en trabajadores y población aledaña</w:t>
      </w:r>
      <w:r>
        <w:rPr>
          <w:rFonts w:ascii="Arial" w:hAnsi="Arial" w:cs="Arial"/>
          <w:sz w:val="24"/>
          <w:szCs w:val="24"/>
        </w:rPr>
        <w:t>.</w:t>
      </w:r>
    </w:p>
    <w:p w:rsidR="00716599" w:rsidRDefault="00716599" w:rsidP="00A5253D">
      <w:pPr>
        <w:spacing w:after="0"/>
        <w:jc w:val="both"/>
        <w:rPr>
          <w:rFonts w:ascii="Arial" w:hAnsi="Arial" w:cs="Arial"/>
          <w:sz w:val="24"/>
          <w:szCs w:val="24"/>
        </w:rPr>
      </w:pPr>
    </w:p>
    <w:p w:rsidR="00496429" w:rsidRDefault="00F024C7" w:rsidP="00C32146">
      <w:pPr>
        <w:spacing w:after="0"/>
        <w:jc w:val="both"/>
        <w:rPr>
          <w:rFonts w:ascii="Arial" w:hAnsi="Arial" w:cs="Arial"/>
          <w:sz w:val="24"/>
          <w:szCs w:val="24"/>
        </w:rPr>
      </w:pPr>
      <w:r>
        <w:rPr>
          <w:rFonts w:ascii="Arial" w:hAnsi="Arial" w:cs="Arial"/>
          <w:sz w:val="24"/>
          <w:szCs w:val="24"/>
        </w:rPr>
        <w:t>Respecto al manejo de</w:t>
      </w:r>
      <w:r w:rsidR="00496429">
        <w:rPr>
          <w:rFonts w:ascii="Arial" w:hAnsi="Arial" w:cs="Arial"/>
          <w:sz w:val="24"/>
          <w:szCs w:val="24"/>
        </w:rPr>
        <w:t xml:space="preserve"> rellenos sanitarios, también es posible recoger evidencia de casos en los cuales existe una potencial contaminación ambiental y de aguas en Colombia. </w:t>
      </w:r>
      <w:r w:rsidR="00381099">
        <w:rPr>
          <w:rFonts w:ascii="Arial" w:hAnsi="Arial" w:cs="Arial"/>
          <w:sz w:val="24"/>
          <w:szCs w:val="24"/>
        </w:rPr>
        <w:t xml:space="preserve">De acuerdo con un estudio </w:t>
      </w:r>
      <w:r w:rsidR="00D21D24">
        <w:rPr>
          <w:rFonts w:ascii="Arial" w:hAnsi="Arial" w:cs="Arial"/>
          <w:sz w:val="24"/>
          <w:szCs w:val="24"/>
        </w:rPr>
        <w:t>publicado por la Revista  Academia Colombiana de Ciencia</w:t>
      </w:r>
      <w:r w:rsidR="00381099">
        <w:rPr>
          <w:rFonts w:ascii="Arial" w:hAnsi="Arial" w:cs="Arial"/>
          <w:sz w:val="24"/>
          <w:szCs w:val="24"/>
        </w:rPr>
        <w:t xml:space="preserve"> (2010)</w:t>
      </w:r>
      <w:r w:rsidR="00C32146">
        <w:rPr>
          <w:rFonts w:ascii="Arial" w:hAnsi="Arial" w:cs="Arial"/>
          <w:sz w:val="24"/>
          <w:szCs w:val="24"/>
        </w:rPr>
        <w:t xml:space="preserve"> “</w:t>
      </w:r>
      <w:r w:rsidR="00C32146" w:rsidRPr="00C32146">
        <w:rPr>
          <w:rFonts w:ascii="Arial" w:hAnsi="Arial" w:cs="Arial"/>
          <w:i/>
          <w:sz w:val="24"/>
          <w:szCs w:val="24"/>
        </w:rPr>
        <w:t>los rellenos sanitarios en Latinoamérica: caso colombiano</w:t>
      </w:r>
      <w:r w:rsidR="00C32146">
        <w:rPr>
          <w:rFonts w:ascii="Arial" w:hAnsi="Arial" w:cs="Arial"/>
          <w:sz w:val="24"/>
          <w:szCs w:val="24"/>
        </w:rPr>
        <w:t>”</w:t>
      </w:r>
      <w:r w:rsidR="00C32146">
        <w:rPr>
          <w:rStyle w:val="Refdenotaalpie"/>
          <w:rFonts w:ascii="Arial" w:hAnsi="Arial" w:cs="Arial"/>
          <w:sz w:val="24"/>
          <w:szCs w:val="24"/>
        </w:rPr>
        <w:footnoteReference w:id="8"/>
      </w:r>
      <w:r w:rsidR="0037702B" w:rsidRPr="0037702B">
        <w:rPr>
          <w:rFonts w:ascii="Arial" w:hAnsi="Arial" w:cs="Arial"/>
          <w:sz w:val="24"/>
          <w:szCs w:val="24"/>
        </w:rPr>
        <w:t xml:space="preserve">la mayoría de los rellenossanitarios en las principales ciudades de Colombia, presentanproblemas </w:t>
      </w:r>
      <w:r>
        <w:rPr>
          <w:rFonts w:ascii="Arial" w:hAnsi="Arial" w:cs="Arial"/>
          <w:sz w:val="24"/>
          <w:szCs w:val="24"/>
        </w:rPr>
        <w:t xml:space="preserve">de mal </w:t>
      </w:r>
      <w:r w:rsidR="0037702B" w:rsidRPr="0037702B">
        <w:rPr>
          <w:rFonts w:ascii="Arial" w:hAnsi="Arial" w:cs="Arial"/>
          <w:sz w:val="24"/>
          <w:szCs w:val="24"/>
        </w:rPr>
        <w:t xml:space="preserve"> funcionamiento</w:t>
      </w:r>
      <w:r>
        <w:rPr>
          <w:rFonts w:ascii="Arial" w:hAnsi="Arial" w:cs="Arial"/>
          <w:sz w:val="24"/>
          <w:szCs w:val="24"/>
        </w:rPr>
        <w:t xml:space="preserve"> e </w:t>
      </w:r>
      <w:r w:rsidRPr="00F024C7">
        <w:rPr>
          <w:rFonts w:ascii="Arial" w:hAnsi="Arial" w:cs="Arial"/>
          <w:sz w:val="24"/>
          <w:szCs w:val="24"/>
        </w:rPr>
        <w:t xml:space="preserve">incumplimientos en los </w:t>
      </w:r>
      <w:r w:rsidRPr="00F024C7">
        <w:rPr>
          <w:rFonts w:ascii="Arial" w:hAnsi="Arial" w:cs="Arial"/>
          <w:sz w:val="24"/>
          <w:szCs w:val="24"/>
        </w:rPr>
        <w:lastRenderedPageBreak/>
        <w:t>planes de manejo</w:t>
      </w:r>
      <w:r w:rsidR="0037702B" w:rsidRPr="0037702B">
        <w:rPr>
          <w:rFonts w:ascii="Arial" w:hAnsi="Arial" w:cs="Arial"/>
          <w:sz w:val="24"/>
          <w:szCs w:val="24"/>
        </w:rPr>
        <w:t>,</w:t>
      </w:r>
      <w:r>
        <w:rPr>
          <w:rFonts w:ascii="Arial" w:hAnsi="Arial" w:cs="Arial"/>
          <w:sz w:val="24"/>
          <w:szCs w:val="24"/>
        </w:rPr>
        <w:t>evidenciados en la insuficiencia o ausencia de tratamiento de lixiviados.</w:t>
      </w:r>
    </w:p>
    <w:p w:rsidR="00694331" w:rsidRDefault="00694331" w:rsidP="00C32146">
      <w:pPr>
        <w:spacing w:after="0"/>
        <w:jc w:val="both"/>
        <w:rPr>
          <w:rFonts w:ascii="Arial" w:hAnsi="Arial" w:cs="Arial"/>
          <w:sz w:val="24"/>
          <w:szCs w:val="24"/>
        </w:rPr>
      </w:pPr>
    </w:p>
    <w:tbl>
      <w:tblPr>
        <w:tblW w:w="8520" w:type="dxa"/>
        <w:tblInd w:w="55" w:type="dxa"/>
        <w:tblCellMar>
          <w:left w:w="70" w:type="dxa"/>
          <w:right w:w="70" w:type="dxa"/>
        </w:tblCellMar>
        <w:tblLook w:val="04A0"/>
      </w:tblPr>
      <w:tblGrid>
        <w:gridCol w:w="2140"/>
        <w:gridCol w:w="2600"/>
        <w:gridCol w:w="3780"/>
      </w:tblGrid>
      <w:tr w:rsidR="005E0C56" w:rsidRPr="00316DE5" w:rsidTr="00210776">
        <w:trPr>
          <w:trHeight w:val="60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C56" w:rsidRPr="00316DE5" w:rsidRDefault="005E0C56" w:rsidP="00210776">
            <w:pPr>
              <w:spacing w:after="0" w:line="240" w:lineRule="auto"/>
              <w:ind w:left="87" w:hanging="87"/>
              <w:jc w:val="center"/>
              <w:rPr>
                <w:rFonts w:ascii="Arial" w:eastAsia="Times New Roman" w:hAnsi="Arial" w:cs="Arial"/>
                <w:b/>
                <w:bCs/>
                <w:color w:val="000000"/>
                <w:lang w:eastAsia="es-ES"/>
              </w:rPr>
            </w:pPr>
            <w:r w:rsidRPr="00316DE5">
              <w:rPr>
                <w:rFonts w:ascii="Arial" w:eastAsia="Times New Roman" w:hAnsi="Arial" w:cs="Arial"/>
                <w:b/>
                <w:bCs/>
                <w:color w:val="000000"/>
                <w:lang w:eastAsia="es-ES"/>
              </w:rPr>
              <w:t>Ciudad - Relleno Sanitario</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jc w:val="center"/>
              <w:rPr>
                <w:rFonts w:ascii="Arial" w:eastAsia="Times New Roman" w:hAnsi="Arial" w:cs="Arial"/>
                <w:b/>
                <w:bCs/>
                <w:color w:val="000000"/>
                <w:lang w:eastAsia="es-ES"/>
              </w:rPr>
            </w:pPr>
            <w:r w:rsidRPr="00316DE5">
              <w:rPr>
                <w:rFonts w:ascii="Arial" w:eastAsia="Times New Roman" w:hAnsi="Arial" w:cs="Arial"/>
                <w:b/>
                <w:bCs/>
                <w:color w:val="000000"/>
                <w:lang w:eastAsia="es-ES"/>
              </w:rPr>
              <w:t>Capacidad</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jc w:val="center"/>
              <w:rPr>
                <w:rFonts w:ascii="Arial" w:eastAsia="Times New Roman" w:hAnsi="Arial" w:cs="Arial"/>
                <w:b/>
                <w:bCs/>
                <w:color w:val="000000"/>
                <w:lang w:eastAsia="es-ES"/>
              </w:rPr>
            </w:pPr>
            <w:r w:rsidRPr="00316DE5">
              <w:rPr>
                <w:rFonts w:ascii="Arial" w:eastAsia="Times New Roman" w:hAnsi="Arial" w:cs="Arial"/>
                <w:b/>
                <w:bCs/>
                <w:color w:val="000000"/>
                <w:lang w:eastAsia="es-ES"/>
              </w:rPr>
              <w:t>Hallazgo</w:t>
            </w:r>
          </w:p>
        </w:tc>
      </w:tr>
      <w:tr w:rsidR="005E0C56" w:rsidRPr="00316DE5" w:rsidTr="00210776">
        <w:trPr>
          <w:trHeight w:val="126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szCs w:val="24"/>
                <w:lang w:eastAsia="es-ES"/>
              </w:rPr>
            </w:pPr>
            <w:r w:rsidRPr="00316DE5">
              <w:rPr>
                <w:rFonts w:ascii="Arial" w:eastAsia="Times New Roman" w:hAnsi="Arial" w:cs="Arial"/>
                <w:color w:val="000000"/>
                <w:szCs w:val="24"/>
                <w:lang w:eastAsia="es-ES"/>
              </w:rPr>
              <w:t>Bogotá D.C. Relleno Sanitario de Doña Juana</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szCs w:val="24"/>
                <w:lang w:eastAsia="es-ES"/>
              </w:rPr>
            </w:pPr>
            <w:r w:rsidRPr="00316DE5">
              <w:rPr>
                <w:rFonts w:ascii="Arial" w:eastAsia="Times New Roman" w:hAnsi="Arial" w:cs="Arial"/>
                <w:color w:val="000000"/>
                <w:szCs w:val="24"/>
                <w:lang w:eastAsia="es-ES"/>
              </w:rPr>
              <w:t>Residuos provenientes de 6 municipios: 5.891,8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Luego de 20 años de funcionamiento, recibe volúmenes de lixiviados superiores</w:t>
            </w:r>
            <w:r w:rsidRPr="00316DE5">
              <w:rPr>
                <w:rFonts w:ascii="Arial" w:eastAsia="Times New Roman" w:hAnsi="Arial" w:cs="Arial"/>
                <w:color w:val="000000"/>
                <w:lang w:eastAsia="es-ES"/>
              </w:rPr>
              <w:br/>
              <w:t>a la capacidad de la planta de tratamiento de los mismos.</w:t>
            </w:r>
          </w:p>
        </w:tc>
      </w:tr>
      <w:tr w:rsidR="005E0C56" w:rsidRPr="00316DE5" w:rsidTr="00210776">
        <w:trPr>
          <w:trHeight w:val="24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Antioquia - Medellín Relleno Sanitario "Parque</w:t>
            </w:r>
            <w:r w:rsidRPr="00316DE5">
              <w:rPr>
                <w:rFonts w:ascii="Arial" w:eastAsia="Times New Roman" w:hAnsi="Arial" w:cs="Arial"/>
                <w:color w:val="000000"/>
                <w:lang w:eastAsia="es-ES"/>
              </w:rPr>
              <w:br/>
              <w:t>Ambiental La Pradera”</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2.787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 2008, no contaba con un sistema</w:t>
            </w:r>
            <w:r w:rsidRPr="00316DE5">
              <w:rPr>
                <w:rFonts w:ascii="Arial" w:eastAsia="Times New Roman" w:hAnsi="Arial" w:cs="Arial"/>
                <w:color w:val="000000"/>
                <w:lang w:eastAsia="es-ES"/>
              </w:rPr>
              <w:br/>
              <w:t>de tratamiento para los lixiviados. Los  vertimientos tienen caudales muy grandes, causando contaminación de recursos hídricos cercanos (Río Porce y las quebradas afluentes La Música, La Jagua y La Piñuela), en su composición se encuentran sustancias toxicas</w:t>
            </w:r>
          </w:p>
        </w:tc>
      </w:tr>
      <w:tr w:rsidR="005E0C56" w:rsidRPr="00316DE5" w:rsidTr="00210776">
        <w:trPr>
          <w:trHeight w:val="18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Valle del cauca - Santiago de Cali "Relleno Sanitario de Yotoco</w:t>
            </w:r>
            <w:r w:rsidRPr="00316DE5">
              <w:rPr>
                <w:rFonts w:ascii="Arial" w:eastAsia="Times New Roman" w:hAnsi="Arial" w:cs="Arial"/>
                <w:color w:val="000000"/>
                <w:lang w:eastAsia="es-ES"/>
              </w:rPr>
              <w:br/>
              <w:t>o Colomba- El Guabal"</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Residuos provenientes de los municipios de Candelaria,</w:t>
            </w:r>
            <w:r w:rsidRPr="00316DE5">
              <w:rPr>
                <w:rFonts w:ascii="Arial" w:eastAsia="Times New Roman" w:hAnsi="Arial" w:cs="Arial"/>
                <w:color w:val="000000"/>
                <w:lang w:eastAsia="es-ES"/>
              </w:rPr>
              <w:br/>
              <w:t>Jamundí, Caloto, Villa rica, Yumbo y Cali: 1.800</w:t>
            </w:r>
            <w:r w:rsidRPr="00316DE5">
              <w:rPr>
                <w:rFonts w:ascii="Arial" w:eastAsia="Times New Roman" w:hAnsi="Arial" w:cs="Arial"/>
                <w:color w:val="000000"/>
                <w:lang w:eastAsia="es-ES"/>
              </w:rPr>
              <w:br/>
              <w:t>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 mayo de 2009 no contaba con planta de tratamiento</w:t>
            </w:r>
            <w:r w:rsidRPr="00316DE5">
              <w:rPr>
                <w:rFonts w:ascii="Arial" w:eastAsia="Times New Roman" w:hAnsi="Arial" w:cs="Arial"/>
                <w:color w:val="000000"/>
                <w:lang w:eastAsia="es-ES"/>
              </w:rPr>
              <w:br/>
              <w:t>de lixiviados</w:t>
            </w:r>
          </w:p>
        </w:tc>
      </w:tr>
      <w:tr w:rsidR="005E0C56" w:rsidRPr="00316DE5" w:rsidTr="00210776">
        <w:trPr>
          <w:trHeight w:val="18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Atlántico - Barranquilla "Relleno Sanitario Los Pocitos"</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Residuos sólidos provenientes</w:t>
            </w:r>
            <w:r w:rsidRPr="00316DE5">
              <w:rPr>
                <w:rFonts w:ascii="Arial" w:eastAsia="Times New Roman" w:hAnsi="Arial" w:cs="Arial"/>
                <w:color w:val="000000"/>
                <w:lang w:eastAsia="es-ES"/>
              </w:rPr>
              <w:br/>
              <w:t>de los municipios de Barranquilla, Soledad,</w:t>
            </w:r>
            <w:r w:rsidRPr="00316DE5">
              <w:rPr>
                <w:rFonts w:ascii="Arial" w:eastAsia="Times New Roman" w:hAnsi="Arial" w:cs="Arial"/>
                <w:color w:val="000000"/>
                <w:lang w:eastAsia="es-ES"/>
              </w:rPr>
              <w:br/>
              <w:t>Galapa y Puerto Colombia: 1.600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 junio de 2009</w:t>
            </w:r>
            <w:r w:rsidRPr="00316DE5">
              <w:rPr>
                <w:rFonts w:ascii="Arial" w:eastAsia="Times New Roman" w:hAnsi="Arial" w:cs="Arial"/>
                <w:color w:val="000000"/>
                <w:lang w:eastAsia="es-ES"/>
              </w:rPr>
              <w:br/>
              <w:t>se encontraba operando sin planta para el tratamiento de</w:t>
            </w:r>
            <w:r w:rsidRPr="00316DE5">
              <w:rPr>
                <w:rFonts w:ascii="Arial" w:eastAsia="Times New Roman" w:hAnsi="Arial" w:cs="Arial"/>
                <w:color w:val="000000"/>
                <w:lang w:eastAsia="es-ES"/>
              </w:rPr>
              <w:br/>
              <w:t>lixiviados, generando malos olores.</w:t>
            </w:r>
          </w:p>
        </w:tc>
      </w:tr>
      <w:tr w:rsidR="005E0C56" w:rsidRPr="00316DE5" w:rsidTr="00210776">
        <w:trPr>
          <w:trHeight w:val="27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Risaralda - Pereira "Relleno Sanitario La Glorita"</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Residuos Sólidos provenientes de 17 municipios: 650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A 2008 presentó problemas como la ausencia de filtros para el transporte de lixiviados en algunos vasos, afloramiento de lixiviados en diferentes puntos</w:t>
            </w:r>
            <w:r w:rsidRPr="00316DE5">
              <w:rPr>
                <w:rFonts w:ascii="Arial" w:eastAsia="Times New Roman" w:hAnsi="Arial" w:cs="Arial"/>
                <w:color w:val="000000"/>
                <w:lang w:eastAsia="es-ES"/>
              </w:rPr>
              <w:br/>
              <w:t>del relleno, falta de material de cobertura en la cantidad que permitiera establecer el sello hidráulico, evidenciando que</w:t>
            </w:r>
            <w:r w:rsidRPr="00316DE5">
              <w:rPr>
                <w:rFonts w:ascii="Arial" w:eastAsia="Times New Roman" w:hAnsi="Arial" w:cs="Arial"/>
                <w:color w:val="000000"/>
                <w:lang w:eastAsia="es-ES"/>
              </w:rPr>
              <w:br/>
              <w:t>la infraestructura para evacuación de lixiviados no era la requerida.</w:t>
            </w:r>
          </w:p>
        </w:tc>
      </w:tr>
      <w:tr w:rsidR="005E0C56" w:rsidRPr="00316DE5" w:rsidTr="00210776">
        <w:trPr>
          <w:trHeight w:val="27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lastRenderedPageBreak/>
              <w:t>Santander - B/manga "Relleno Sanitario El Carrasco"</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Residuos provenientes</w:t>
            </w:r>
            <w:r w:rsidRPr="00316DE5">
              <w:rPr>
                <w:rFonts w:ascii="Arial" w:eastAsia="Times New Roman" w:hAnsi="Arial" w:cs="Arial"/>
                <w:color w:val="000000"/>
                <w:lang w:eastAsia="es-ES"/>
              </w:rPr>
              <w:br/>
              <w:t>de 11 municipios: 734,3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En 2008, de acuerdo con hallazgos de la contraloría municipal existía incumplimiento en el programa de manejo de residuos peligrosos: "...hay presencia de lixiviados por la vía de acceso en el sitio de</w:t>
            </w:r>
            <w:r w:rsidRPr="00316DE5">
              <w:rPr>
                <w:rFonts w:ascii="Arial" w:eastAsia="Times New Roman" w:hAnsi="Arial" w:cs="Arial"/>
                <w:color w:val="000000"/>
                <w:lang w:eastAsia="es-ES"/>
              </w:rPr>
              <w:br/>
              <w:t>disposición final es evidente, no fluyen por drenes y son</w:t>
            </w:r>
            <w:r w:rsidRPr="00316DE5">
              <w:rPr>
                <w:rFonts w:ascii="Arial" w:eastAsia="Times New Roman" w:hAnsi="Arial" w:cs="Arial"/>
                <w:color w:val="000000"/>
                <w:lang w:eastAsia="es-ES"/>
              </w:rPr>
              <w:br/>
              <w:t>superficiales, creando focos de contaminación ambiental".</w:t>
            </w:r>
          </w:p>
        </w:tc>
      </w:tr>
      <w:tr w:rsidR="005E0C56" w:rsidRPr="00316DE5" w:rsidTr="00210776">
        <w:trPr>
          <w:trHeight w:val="21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Tolima - Ibagué "Relleno Sanitario Parque Industrial de Residuos Sólidos"</w:t>
            </w:r>
          </w:p>
        </w:tc>
        <w:tc>
          <w:tcPr>
            <w:tcW w:w="260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5E0C56">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355,9 Ton/día</w:t>
            </w:r>
          </w:p>
        </w:tc>
        <w:tc>
          <w:tcPr>
            <w:tcW w:w="3780" w:type="dxa"/>
            <w:tcBorders>
              <w:top w:val="nil"/>
              <w:left w:val="nil"/>
              <w:bottom w:val="single" w:sz="4" w:space="0" w:color="auto"/>
              <w:right w:val="single" w:sz="4" w:space="0" w:color="auto"/>
            </w:tcBorders>
            <w:shd w:val="clear" w:color="auto" w:fill="auto"/>
            <w:vAlign w:val="center"/>
            <w:hideMark/>
          </w:tcPr>
          <w:p w:rsidR="005E0C56" w:rsidRPr="00316DE5" w:rsidRDefault="005E0C56" w:rsidP="007F6844">
            <w:pPr>
              <w:spacing w:after="0" w:line="240" w:lineRule="auto"/>
              <w:rPr>
                <w:rFonts w:ascii="Arial" w:eastAsia="Times New Roman" w:hAnsi="Arial" w:cs="Arial"/>
                <w:color w:val="000000"/>
                <w:lang w:eastAsia="es-ES"/>
              </w:rPr>
            </w:pPr>
            <w:r w:rsidRPr="00316DE5">
              <w:rPr>
                <w:rFonts w:ascii="Arial" w:eastAsia="Times New Roman" w:hAnsi="Arial" w:cs="Arial"/>
                <w:color w:val="000000"/>
                <w:lang w:eastAsia="es-ES"/>
              </w:rPr>
              <w:t>La contraloría municipal reportó en 2005 evidencia de problemas como la no existencia de estudios que permitieran evaluar la situación de la disposición final de los residuos, los impactosgenerados, el Plan de Monitoreo y seguimiento y los Planes de Mitigación.</w:t>
            </w:r>
          </w:p>
        </w:tc>
      </w:tr>
    </w:tbl>
    <w:p w:rsidR="005E0C56" w:rsidRDefault="005E0C56" w:rsidP="005E0C56">
      <w:pPr>
        <w:spacing w:after="0"/>
        <w:jc w:val="both"/>
        <w:rPr>
          <w:rFonts w:ascii="Arial" w:hAnsi="Arial" w:cs="Arial"/>
          <w:sz w:val="16"/>
          <w:szCs w:val="24"/>
        </w:rPr>
      </w:pPr>
      <w:r w:rsidRPr="00316DE5">
        <w:rPr>
          <w:rFonts w:ascii="Arial" w:hAnsi="Arial" w:cs="Arial"/>
          <w:b/>
          <w:sz w:val="16"/>
          <w:szCs w:val="24"/>
        </w:rPr>
        <w:t>Fuente</w:t>
      </w:r>
      <w:r w:rsidRPr="00316DE5">
        <w:rPr>
          <w:rFonts w:ascii="Arial" w:hAnsi="Arial" w:cs="Arial"/>
          <w:sz w:val="16"/>
          <w:szCs w:val="24"/>
        </w:rPr>
        <w:t xml:space="preserve">: Noguera, K. M. &amp; J. T. Olivero: “Los rellenos sanitarios en Latinoamérica: caso colombiano” </w:t>
      </w:r>
    </w:p>
    <w:p w:rsidR="00716599" w:rsidRPr="00316DE5" w:rsidRDefault="00716599" w:rsidP="005E0C56">
      <w:pPr>
        <w:spacing w:after="0"/>
        <w:jc w:val="both"/>
        <w:rPr>
          <w:rFonts w:ascii="Arial" w:hAnsi="Arial" w:cs="Arial"/>
          <w:sz w:val="16"/>
          <w:szCs w:val="24"/>
        </w:rPr>
      </w:pPr>
    </w:p>
    <w:p w:rsidR="00716599" w:rsidRDefault="005E0C56" w:rsidP="005E0C56">
      <w:pPr>
        <w:spacing w:after="0"/>
        <w:jc w:val="both"/>
        <w:rPr>
          <w:rFonts w:ascii="Arial" w:hAnsi="Arial" w:cs="Arial"/>
          <w:sz w:val="16"/>
          <w:szCs w:val="24"/>
        </w:rPr>
      </w:pPr>
      <w:r w:rsidRPr="00316DE5">
        <w:rPr>
          <w:rFonts w:ascii="Arial" w:hAnsi="Arial" w:cs="Arial"/>
          <w:sz w:val="16"/>
          <w:szCs w:val="24"/>
        </w:rPr>
        <w:t>Rev. Acad. Colomb. Cienc. 34 (132): 347-356, 2010. ISSN 0370-3908.</w:t>
      </w:r>
    </w:p>
    <w:p w:rsidR="00D21D24" w:rsidRPr="00316DE5" w:rsidRDefault="005E0C56" w:rsidP="005E0C56">
      <w:pPr>
        <w:spacing w:after="0"/>
        <w:jc w:val="both"/>
        <w:rPr>
          <w:rFonts w:ascii="Arial" w:hAnsi="Arial" w:cs="Arial"/>
          <w:sz w:val="16"/>
          <w:szCs w:val="24"/>
        </w:rPr>
      </w:pPr>
      <w:r w:rsidRPr="00316DE5">
        <w:rPr>
          <w:rFonts w:ascii="Arial" w:hAnsi="Arial" w:cs="Arial"/>
          <w:sz w:val="16"/>
          <w:szCs w:val="24"/>
        </w:rPr>
        <w:t>http://www.accefyn.org.co/revista/Vol_34/132/347-356.pdf</w:t>
      </w:r>
    </w:p>
    <w:p w:rsidR="00496429" w:rsidRDefault="00496429" w:rsidP="00A5253D">
      <w:pPr>
        <w:spacing w:after="0"/>
        <w:jc w:val="both"/>
        <w:rPr>
          <w:rFonts w:ascii="Arial" w:hAnsi="Arial" w:cs="Arial"/>
          <w:sz w:val="24"/>
          <w:szCs w:val="24"/>
        </w:rPr>
      </w:pPr>
    </w:p>
    <w:p w:rsidR="00AB7D09" w:rsidRDefault="00AB7D09" w:rsidP="00A5253D">
      <w:pPr>
        <w:spacing w:after="0"/>
        <w:jc w:val="both"/>
        <w:rPr>
          <w:rFonts w:ascii="Arial" w:hAnsi="Arial" w:cs="Arial"/>
          <w:sz w:val="24"/>
          <w:szCs w:val="24"/>
        </w:rPr>
      </w:pPr>
      <w:r>
        <w:rPr>
          <w:rFonts w:ascii="Arial" w:hAnsi="Arial" w:cs="Arial"/>
          <w:sz w:val="24"/>
          <w:szCs w:val="24"/>
        </w:rPr>
        <w:t xml:space="preserve">Sin embargo llama la atención los pocos registros que existen respecto de un fenómeno altamente contaminante sobre fuentes de aguas subterráneas y es el ocasionado por la filtración de lixiviados, derivados de los </w:t>
      </w:r>
      <w:r>
        <w:rPr>
          <w:rFonts w:ascii="Arial" w:hAnsi="Arial" w:cs="Arial"/>
          <w:i/>
          <w:sz w:val="24"/>
          <w:szCs w:val="24"/>
        </w:rPr>
        <w:t>cementerios</w:t>
      </w:r>
      <w:r>
        <w:rPr>
          <w:rFonts w:ascii="Arial" w:hAnsi="Arial" w:cs="Arial"/>
          <w:sz w:val="24"/>
          <w:szCs w:val="24"/>
        </w:rPr>
        <w:t>, los cuales de forma comprobada han afectado fuentes hídricas empleadas tanto para el consumo de poblaciones circundantes como para las actividades de riego.</w:t>
      </w:r>
    </w:p>
    <w:p w:rsidR="00AB7D09" w:rsidRDefault="00AB7D09" w:rsidP="00A5253D">
      <w:pPr>
        <w:spacing w:after="0"/>
        <w:jc w:val="both"/>
        <w:rPr>
          <w:rFonts w:ascii="Arial" w:hAnsi="Arial" w:cs="Arial"/>
          <w:sz w:val="24"/>
          <w:szCs w:val="24"/>
        </w:rPr>
      </w:pPr>
    </w:p>
    <w:p w:rsidR="002B0D14" w:rsidRDefault="003D04EA" w:rsidP="00A5253D">
      <w:pPr>
        <w:spacing w:after="0"/>
        <w:jc w:val="both"/>
        <w:rPr>
          <w:rFonts w:ascii="Arial" w:hAnsi="Arial" w:cs="Arial"/>
          <w:sz w:val="24"/>
          <w:szCs w:val="24"/>
        </w:rPr>
      </w:pPr>
      <w:r>
        <w:rPr>
          <w:rFonts w:ascii="Arial" w:hAnsi="Arial" w:cs="Arial"/>
          <w:sz w:val="24"/>
          <w:szCs w:val="24"/>
        </w:rPr>
        <w:t xml:space="preserve">Algunos casos documentados en </w:t>
      </w:r>
      <w:r w:rsidR="00A50C74">
        <w:rPr>
          <w:rFonts w:ascii="Arial" w:hAnsi="Arial" w:cs="Arial"/>
          <w:sz w:val="24"/>
          <w:szCs w:val="24"/>
        </w:rPr>
        <w:t>América Latin</w:t>
      </w:r>
      <w:r w:rsidR="00920517">
        <w:rPr>
          <w:rFonts w:ascii="Arial" w:hAnsi="Arial" w:cs="Arial"/>
          <w:sz w:val="24"/>
          <w:szCs w:val="24"/>
        </w:rPr>
        <w:t xml:space="preserve">a, </w:t>
      </w:r>
      <w:r w:rsidR="00A50C74">
        <w:rPr>
          <w:rFonts w:ascii="Arial" w:hAnsi="Arial" w:cs="Arial"/>
          <w:sz w:val="24"/>
          <w:szCs w:val="24"/>
        </w:rPr>
        <w:t>los registra</w:t>
      </w:r>
      <w:r w:rsidR="007F6844">
        <w:rPr>
          <w:rFonts w:ascii="Arial" w:hAnsi="Arial" w:cs="Arial"/>
          <w:sz w:val="24"/>
          <w:szCs w:val="24"/>
        </w:rPr>
        <w:t>n</w:t>
      </w:r>
      <w:r>
        <w:rPr>
          <w:rFonts w:ascii="Arial" w:hAnsi="Arial" w:cs="Arial"/>
          <w:sz w:val="24"/>
          <w:szCs w:val="24"/>
        </w:rPr>
        <w:t>Brasil</w:t>
      </w:r>
      <w:r w:rsidR="00281960">
        <w:rPr>
          <w:rFonts w:ascii="Arial" w:hAnsi="Arial" w:cs="Arial"/>
          <w:sz w:val="24"/>
          <w:szCs w:val="24"/>
        </w:rPr>
        <w:t xml:space="preserve">(3) </w:t>
      </w:r>
      <w:r w:rsidR="002B0D14">
        <w:rPr>
          <w:rFonts w:ascii="Arial" w:hAnsi="Arial" w:cs="Arial"/>
          <w:sz w:val="24"/>
          <w:szCs w:val="24"/>
        </w:rPr>
        <w:t>y Perú</w:t>
      </w:r>
      <w:r w:rsidR="008C4319">
        <w:rPr>
          <w:rStyle w:val="Refdenotaalpie"/>
          <w:rFonts w:ascii="Arial" w:hAnsi="Arial" w:cs="Arial"/>
          <w:sz w:val="24"/>
          <w:szCs w:val="24"/>
        </w:rPr>
        <w:footnoteReference w:id="9"/>
      </w:r>
      <w:r w:rsidR="00281960">
        <w:rPr>
          <w:rFonts w:ascii="Arial" w:hAnsi="Arial" w:cs="Arial"/>
          <w:sz w:val="24"/>
          <w:szCs w:val="24"/>
        </w:rPr>
        <w:t xml:space="preserve"> (1)</w:t>
      </w:r>
      <w:r w:rsidR="002B0D14">
        <w:rPr>
          <w:rFonts w:ascii="Arial" w:hAnsi="Arial" w:cs="Arial"/>
          <w:sz w:val="24"/>
          <w:szCs w:val="24"/>
        </w:rPr>
        <w:t>. En el primer país</w:t>
      </w:r>
      <w:r w:rsidR="008C0AAE">
        <w:rPr>
          <w:rFonts w:ascii="Arial" w:hAnsi="Arial" w:cs="Arial"/>
          <w:sz w:val="24"/>
          <w:szCs w:val="24"/>
        </w:rPr>
        <w:t>,</w:t>
      </w:r>
      <w:r w:rsidR="008833FB">
        <w:rPr>
          <w:rFonts w:ascii="Arial" w:hAnsi="Arial" w:cs="Arial"/>
          <w:sz w:val="24"/>
          <w:szCs w:val="24"/>
        </w:rPr>
        <w:t xml:space="preserve"> el t</w:t>
      </w:r>
      <w:r w:rsidR="008833FB" w:rsidRPr="00920517">
        <w:rPr>
          <w:rFonts w:ascii="Arial" w:hAnsi="Arial" w:cs="Arial"/>
          <w:sz w:val="24"/>
          <w:szCs w:val="24"/>
        </w:rPr>
        <w:t>rabajo titulado “Los Cementerios en la Problemática Ambiental”</w:t>
      </w:r>
      <w:r w:rsidR="008833FB">
        <w:rPr>
          <w:rFonts w:ascii="Arial" w:hAnsi="Arial" w:cs="Arial"/>
          <w:sz w:val="24"/>
          <w:szCs w:val="24"/>
        </w:rPr>
        <w:t>, de autoría de</w:t>
      </w:r>
      <w:r w:rsidR="008833FB" w:rsidRPr="008833FB">
        <w:rPr>
          <w:rFonts w:ascii="Arial" w:hAnsi="Arial" w:cs="Arial"/>
          <w:sz w:val="24"/>
          <w:szCs w:val="24"/>
        </w:rPr>
        <w:t>l Dr. Leziro Marques Silva, resume la investigación realizada por 25 años (1970-1995)</w:t>
      </w:r>
      <w:r w:rsidR="008833FB">
        <w:rPr>
          <w:rFonts w:ascii="Arial" w:hAnsi="Arial" w:cs="Arial"/>
          <w:sz w:val="24"/>
          <w:szCs w:val="24"/>
        </w:rPr>
        <w:t>, a</w:t>
      </w:r>
      <w:r w:rsidR="00920517">
        <w:rPr>
          <w:rFonts w:ascii="Arial" w:hAnsi="Arial" w:cs="Arial"/>
          <w:sz w:val="24"/>
          <w:szCs w:val="24"/>
        </w:rPr>
        <w:t xml:space="preserve"> la situación de 600 cementerios de </w:t>
      </w:r>
      <w:r w:rsidR="008833FB">
        <w:rPr>
          <w:rFonts w:ascii="Arial" w:hAnsi="Arial" w:cs="Arial"/>
          <w:sz w:val="24"/>
          <w:szCs w:val="24"/>
        </w:rPr>
        <w:t xml:space="preserve">Sao Paulo, </w:t>
      </w:r>
      <w:r w:rsidR="002B0D14">
        <w:rPr>
          <w:rFonts w:ascii="Arial" w:hAnsi="Arial" w:cs="Arial"/>
          <w:sz w:val="24"/>
          <w:szCs w:val="24"/>
        </w:rPr>
        <w:t xml:space="preserve">donde se hallaron los siguientes resultados: </w:t>
      </w:r>
    </w:p>
    <w:p w:rsidR="008C4319" w:rsidRDefault="008C4319" w:rsidP="00A5253D">
      <w:pPr>
        <w:spacing w:after="0"/>
        <w:jc w:val="both"/>
        <w:rPr>
          <w:rFonts w:ascii="Arial" w:hAnsi="Arial" w:cs="Arial"/>
          <w:sz w:val="24"/>
          <w:szCs w:val="24"/>
        </w:rPr>
      </w:pPr>
    </w:p>
    <w:p w:rsidR="003C7A8A" w:rsidRPr="001F22ED" w:rsidRDefault="004A60C5" w:rsidP="001F22ED">
      <w:pPr>
        <w:pStyle w:val="Prrafodelista"/>
        <w:numPr>
          <w:ilvl w:val="0"/>
          <w:numId w:val="14"/>
        </w:numPr>
        <w:jc w:val="both"/>
        <w:rPr>
          <w:rFonts w:ascii="Arial" w:hAnsi="Arial" w:cs="Arial"/>
          <w:sz w:val="24"/>
          <w:szCs w:val="24"/>
        </w:rPr>
      </w:pPr>
      <w:r w:rsidRPr="001F22ED">
        <w:rPr>
          <w:rFonts w:ascii="Arial" w:hAnsi="Arial" w:cs="Arial"/>
          <w:sz w:val="24"/>
          <w:szCs w:val="24"/>
        </w:rPr>
        <w:t>Se observó la incidencia de entre 15</w:t>
      </w:r>
      <w:r w:rsidR="0013534D" w:rsidRPr="001F22ED">
        <w:rPr>
          <w:rFonts w:ascii="Arial" w:hAnsi="Arial" w:cs="Arial"/>
          <w:sz w:val="24"/>
          <w:szCs w:val="24"/>
        </w:rPr>
        <w:t>%</w:t>
      </w:r>
      <w:r w:rsidRPr="001F22ED">
        <w:rPr>
          <w:rFonts w:ascii="Arial" w:hAnsi="Arial" w:cs="Arial"/>
          <w:sz w:val="24"/>
          <w:szCs w:val="24"/>
        </w:rPr>
        <w:t>a 20% de casos de contaminación del suelo, ocurrida por la descomposición de los cuerpos y efluentes cadavéricos.</w:t>
      </w:r>
    </w:p>
    <w:p w:rsidR="00704EB5" w:rsidRPr="001F22ED" w:rsidRDefault="00704EB5" w:rsidP="001F22ED">
      <w:pPr>
        <w:pStyle w:val="Prrafodelista"/>
        <w:numPr>
          <w:ilvl w:val="0"/>
          <w:numId w:val="14"/>
        </w:numPr>
        <w:spacing w:after="0"/>
        <w:jc w:val="both"/>
        <w:rPr>
          <w:rFonts w:ascii="Arial" w:hAnsi="Arial" w:cs="Arial"/>
          <w:sz w:val="24"/>
          <w:szCs w:val="24"/>
        </w:rPr>
      </w:pPr>
      <w:r w:rsidRPr="001F22ED">
        <w:rPr>
          <w:rFonts w:ascii="Arial" w:hAnsi="Arial" w:cs="Arial"/>
          <w:sz w:val="24"/>
          <w:szCs w:val="24"/>
        </w:rPr>
        <w:lastRenderedPageBreak/>
        <w:t>Las aguas subterráneas presentan concentraciones excesivas de productos nitrogenados y contaminación bacteriológica.</w:t>
      </w:r>
    </w:p>
    <w:p w:rsidR="00A5253D" w:rsidRDefault="00A5253D" w:rsidP="00A5253D">
      <w:pPr>
        <w:spacing w:after="0"/>
        <w:jc w:val="both"/>
        <w:rPr>
          <w:rFonts w:ascii="Arial" w:hAnsi="Arial" w:cs="Arial"/>
          <w:sz w:val="24"/>
          <w:szCs w:val="24"/>
        </w:rPr>
      </w:pPr>
    </w:p>
    <w:p w:rsidR="00A5253D" w:rsidRDefault="00C87303" w:rsidP="00A5253D">
      <w:pPr>
        <w:spacing w:after="0"/>
        <w:jc w:val="both"/>
        <w:rPr>
          <w:rFonts w:ascii="Arial" w:hAnsi="Arial" w:cs="Arial"/>
          <w:sz w:val="24"/>
        </w:rPr>
      </w:pPr>
      <w:r>
        <w:rPr>
          <w:rFonts w:ascii="Arial" w:hAnsi="Arial" w:cs="Arial"/>
          <w:sz w:val="24"/>
        </w:rPr>
        <w:t>E</w:t>
      </w:r>
      <w:r w:rsidR="007C276D">
        <w:rPr>
          <w:rFonts w:ascii="Arial" w:hAnsi="Arial" w:cs="Arial"/>
          <w:sz w:val="24"/>
        </w:rPr>
        <w:t>n e</w:t>
      </w:r>
      <w:r>
        <w:rPr>
          <w:rFonts w:ascii="Arial" w:hAnsi="Arial" w:cs="Arial"/>
          <w:sz w:val="24"/>
        </w:rPr>
        <w:t xml:space="preserve">lsegundo </w:t>
      </w:r>
      <w:r w:rsidR="00877322">
        <w:rPr>
          <w:rFonts w:ascii="Arial" w:hAnsi="Arial" w:cs="Arial"/>
          <w:sz w:val="24"/>
        </w:rPr>
        <w:t>trabajo</w:t>
      </w:r>
      <w:r>
        <w:rPr>
          <w:rFonts w:ascii="Arial" w:hAnsi="Arial" w:cs="Arial"/>
          <w:sz w:val="24"/>
        </w:rPr>
        <w:t>,</w:t>
      </w:r>
      <w:r w:rsidR="00877322">
        <w:rPr>
          <w:rFonts w:ascii="Arial" w:hAnsi="Arial" w:cs="Arial"/>
          <w:sz w:val="24"/>
        </w:rPr>
        <w:t xml:space="preserve"> “</w:t>
      </w:r>
      <w:r w:rsidR="00877322" w:rsidRPr="00877322">
        <w:rPr>
          <w:rFonts w:ascii="Arial" w:hAnsi="Arial" w:cs="Arial"/>
          <w:sz w:val="24"/>
        </w:rPr>
        <w:t>Calidad Bacteriológica de Aguas Subterráneas enCementerios de Sao Paulo</w:t>
      </w:r>
      <w:r w:rsidR="00877322">
        <w:rPr>
          <w:rFonts w:ascii="Arial" w:hAnsi="Arial" w:cs="Arial"/>
          <w:sz w:val="24"/>
        </w:rPr>
        <w:t>”</w:t>
      </w:r>
      <w:r w:rsidR="007C276D">
        <w:rPr>
          <w:rFonts w:ascii="Arial" w:hAnsi="Arial" w:cs="Arial"/>
          <w:sz w:val="24"/>
        </w:rPr>
        <w:t xml:space="preserve"> se tomaron muestras bacteriológicas de aguas subterráneas, de tres cementerios en las regiones del </w:t>
      </w:r>
      <w:r w:rsidR="007C276D" w:rsidRPr="007C276D">
        <w:rPr>
          <w:rFonts w:ascii="Arial" w:hAnsi="Arial" w:cs="Arial"/>
          <w:sz w:val="24"/>
        </w:rPr>
        <w:t xml:space="preserve">Grande </w:t>
      </w:r>
      <w:r w:rsidR="009C681A" w:rsidRPr="007C276D">
        <w:rPr>
          <w:rFonts w:ascii="Arial" w:hAnsi="Arial" w:cs="Arial"/>
          <w:sz w:val="24"/>
        </w:rPr>
        <w:t>Sao Paulo</w:t>
      </w:r>
      <w:r w:rsidR="007C276D" w:rsidRPr="007C276D">
        <w:rPr>
          <w:rFonts w:ascii="Arial" w:hAnsi="Arial" w:cs="Arial"/>
          <w:sz w:val="24"/>
        </w:rPr>
        <w:t xml:space="preserve"> y BaixadaSantista</w:t>
      </w:r>
      <w:r w:rsidR="007C276D">
        <w:rPr>
          <w:rFonts w:ascii="Arial" w:hAnsi="Arial" w:cs="Arial"/>
          <w:sz w:val="24"/>
        </w:rPr>
        <w:t xml:space="preserve">, de donde se pudo concluir que </w:t>
      </w:r>
      <w:r w:rsidR="007C276D" w:rsidRPr="007C276D">
        <w:rPr>
          <w:rFonts w:ascii="Arial" w:hAnsi="Arial" w:cs="Arial"/>
          <w:sz w:val="24"/>
        </w:rPr>
        <w:t xml:space="preserve">las mayores concentraciones de coliformes fecales, estreptococosfecales, Clostridium sulfito reductores, bacterias heterotróficas aerobias,bacterias heterotróficas anaerobias y bacterias lipoliticas fueronencontradas </w:t>
      </w:r>
      <w:r w:rsidR="007C276D">
        <w:rPr>
          <w:rFonts w:ascii="Arial" w:hAnsi="Arial" w:cs="Arial"/>
          <w:sz w:val="24"/>
        </w:rPr>
        <w:t>en cementerios con</w:t>
      </w:r>
      <w:r w:rsidR="007C276D" w:rsidRPr="007C276D">
        <w:rPr>
          <w:rFonts w:ascii="Arial" w:hAnsi="Arial" w:cs="Arial"/>
          <w:sz w:val="24"/>
        </w:rPr>
        <w:t xml:space="preserve"> suelos arenosos, con altaporosidad y permeabilidad y donde la napa freática se encentraba entre0.60 a 2.20 m, todo lo cual favorec</w:t>
      </w:r>
      <w:r w:rsidR="007C276D">
        <w:rPr>
          <w:rFonts w:ascii="Arial" w:hAnsi="Arial" w:cs="Arial"/>
          <w:sz w:val="24"/>
        </w:rPr>
        <w:t>ía</w:t>
      </w:r>
      <w:r w:rsidR="007C276D" w:rsidRPr="007C276D">
        <w:rPr>
          <w:rFonts w:ascii="Arial" w:hAnsi="Arial" w:cs="Arial"/>
          <w:sz w:val="24"/>
        </w:rPr>
        <w:t xml:space="preserve"> el pasaje de bacterias hacia aguassubterráneas.</w:t>
      </w:r>
    </w:p>
    <w:p w:rsidR="007C276D" w:rsidRDefault="007C276D" w:rsidP="00A5253D">
      <w:pPr>
        <w:spacing w:after="0"/>
        <w:jc w:val="both"/>
        <w:rPr>
          <w:rFonts w:ascii="Arial" w:hAnsi="Arial" w:cs="Arial"/>
          <w:sz w:val="24"/>
        </w:rPr>
      </w:pPr>
    </w:p>
    <w:p w:rsidR="000C0F23" w:rsidRDefault="007C276D" w:rsidP="00A5253D">
      <w:pPr>
        <w:spacing w:after="0"/>
        <w:jc w:val="both"/>
        <w:rPr>
          <w:rFonts w:ascii="Arial" w:hAnsi="Arial" w:cs="Arial"/>
          <w:sz w:val="24"/>
          <w:szCs w:val="24"/>
        </w:rPr>
      </w:pPr>
      <w:r>
        <w:rPr>
          <w:rFonts w:ascii="Arial" w:hAnsi="Arial" w:cs="Arial"/>
          <w:sz w:val="24"/>
        </w:rPr>
        <w:t xml:space="preserve">En el tercer estudio del Brasil, titulado </w:t>
      </w:r>
      <w:r w:rsidR="008833FB" w:rsidRPr="008833FB">
        <w:rPr>
          <w:rFonts w:ascii="Arial" w:hAnsi="Arial" w:cs="Arial"/>
          <w:sz w:val="24"/>
        </w:rPr>
        <w:t>“Minimización de la Contaminación de las AguasSubterráneas causadas por los Cementerios”</w:t>
      </w:r>
      <w:r w:rsidR="008833FB">
        <w:rPr>
          <w:rFonts w:ascii="Arial" w:hAnsi="Arial" w:cs="Arial"/>
          <w:sz w:val="24"/>
        </w:rPr>
        <w:t>,</w:t>
      </w:r>
      <w:r w:rsidR="008833FB">
        <w:rPr>
          <w:rFonts w:ascii="Arial" w:hAnsi="Arial" w:cs="Arial"/>
          <w:sz w:val="24"/>
          <w:szCs w:val="24"/>
        </w:rPr>
        <w:t xml:space="preserve">un grupo de </w:t>
      </w:r>
      <w:r w:rsidR="008833FB" w:rsidRPr="008C0AAE">
        <w:rPr>
          <w:rFonts w:ascii="Arial" w:hAnsi="Arial" w:cs="Arial"/>
          <w:sz w:val="24"/>
          <w:szCs w:val="24"/>
        </w:rPr>
        <w:t xml:space="preserve">Maestría de Saneamiento Ambiental de la Facultad de Salud Pública de laUniversidad de Sao Paulo </w:t>
      </w:r>
      <w:r w:rsidR="008833FB">
        <w:rPr>
          <w:rFonts w:ascii="Arial" w:hAnsi="Arial" w:cs="Arial"/>
          <w:sz w:val="24"/>
          <w:szCs w:val="24"/>
        </w:rPr>
        <w:t>liderado por el Dr. Edu Pariera</w:t>
      </w:r>
      <w:r w:rsidR="00D56614">
        <w:rPr>
          <w:rFonts w:ascii="Arial" w:hAnsi="Arial" w:cs="Arial"/>
          <w:sz w:val="24"/>
          <w:szCs w:val="24"/>
        </w:rPr>
        <w:t xml:space="preserve">, analizó </w:t>
      </w:r>
      <w:r w:rsidR="00D56614" w:rsidRPr="00D56614">
        <w:rPr>
          <w:rFonts w:ascii="Arial" w:hAnsi="Arial" w:cs="Arial"/>
          <w:sz w:val="24"/>
          <w:szCs w:val="24"/>
        </w:rPr>
        <w:t>el Cementerio Vila Nova Cachoeirinha,</w:t>
      </w:r>
      <w:r w:rsidR="00B93D7B">
        <w:rPr>
          <w:rFonts w:ascii="Arial" w:hAnsi="Arial" w:cs="Arial"/>
          <w:sz w:val="24"/>
          <w:szCs w:val="24"/>
        </w:rPr>
        <w:t xml:space="preserve"> de donde</w:t>
      </w:r>
      <w:r w:rsidR="00B93D7B" w:rsidRPr="00B93D7B">
        <w:rPr>
          <w:rFonts w:ascii="Arial" w:hAnsi="Arial" w:cs="Arial"/>
          <w:sz w:val="24"/>
          <w:szCs w:val="24"/>
        </w:rPr>
        <w:t>se obtuvieron elevadasconcentraciones de coliformes totales 1,6 x 10</w:t>
      </w:r>
      <w:r w:rsidR="00B93D7B" w:rsidRPr="00B93D7B">
        <w:rPr>
          <w:rFonts w:ascii="Arial" w:hAnsi="Arial" w:cs="Arial"/>
          <w:sz w:val="24"/>
          <w:szCs w:val="24"/>
          <w:vertAlign w:val="superscript"/>
        </w:rPr>
        <w:t>2</w:t>
      </w:r>
      <w:r w:rsidR="00B93D7B" w:rsidRPr="00B93D7B">
        <w:rPr>
          <w:rFonts w:ascii="Arial" w:hAnsi="Arial" w:cs="Arial"/>
          <w:sz w:val="24"/>
          <w:szCs w:val="24"/>
        </w:rPr>
        <w:t>y numerosas bacterias,así como, en menor número, coliformes fecales.</w:t>
      </w:r>
    </w:p>
    <w:p w:rsidR="000C0F23" w:rsidRDefault="000C0F23" w:rsidP="00A5253D">
      <w:pPr>
        <w:spacing w:after="0"/>
        <w:jc w:val="both"/>
        <w:rPr>
          <w:rFonts w:ascii="Arial" w:hAnsi="Arial" w:cs="Arial"/>
          <w:sz w:val="24"/>
          <w:szCs w:val="24"/>
        </w:rPr>
      </w:pPr>
    </w:p>
    <w:p w:rsidR="000C0F23" w:rsidRDefault="000C0F23" w:rsidP="000C0F23">
      <w:pPr>
        <w:spacing w:after="0"/>
        <w:jc w:val="both"/>
        <w:rPr>
          <w:rFonts w:ascii="Arial" w:hAnsi="Arial" w:cs="Arial"/>
          <w:sz w:val="24"/>
          <w:szCs w:val="24"/>
        </w:rPr>
      </w:pPr>
      <w:r>
        <w:rPr>
          <w:rFonts w:ascii="Arial" w:hAnsi="Arial" w:cs="Arial"/>
          <w:sz w:val="24"/>
          <w:szCs w:val="24"/>
        </w:rPr>
        <w:t>De este cementerio fue posible determinar que l</w:t>
      </w:r>
      <w:r w:rsidRPr="000C0F23">
        <w:rPr>
          <w:rFonts w:ascii="Arial" w:hAnsi="Arial" w:cs="Arial"/>
          <w:sz w:val="24"/>
          <w:szCs w:val="24"/>
        </w:rPr>
        <w:t>as aguas subterráneas presenta</w:t>
      </w:r>
      <w:r>
        <w:rPr>
          <w:rFonts w:ascii="Arial" w:hAnsi="Arial" w:cs="Arial"/>
          <w:sz w:val="24"/>
          <w:szCs w:val="24"/>
        </w:rPr>
        <w:t>ba</w:t>
      </w:r>
      <w:r w:rsidRPr="000C0F23">
        <w:rPr>
          <w:rFonts w:ascii="Arial" w:hAnsi="Arial" w:cs="Arial"/>
          <w:sz w:val="24"/>
          <w:szCs w:val="24"/>
        </w:rPr>
        <w:t>n concentraciones excesivas de productosnitrogenados, causadas por los procesos de descomposición de los cadáveres conla participación efectiva de la contaminación bacteriológica.</w:t>
      </w:r>
    </w:p>
    <w:p w:rsidR="000C0F23" w:rsidRDefault="000C0F23" w:rsidP="00A5253D">
      <w:pPr>
        <w:spacing w:after="0"/>
        <w:jc w:val="both"/>
        <w:rPr>
          <w:rFonts w:ascii="Arial" w:hAnsi="Arial" w:cs="Arial"/>
          <w:sz w:val="24"/>
          <w:szCs w:val="24"/>
        </w:rPr>
      </w:pPr>
    </w:p>
    <w:p w:rsidR="007C276D" w:rsidRDefault="00B93D7B" w:rsidP="00A5253D">
      <w:pPr>
        <w:spacing w:after="0"/>
        <w:jc w:val="both"/>
        <w:rPr>
          <w:rFonts w:ascii="Arial" w:hAnsi="Arial" w:cs="Arial"/>
          <w:sz w:val="24"/>
          <w:szCs w:val="24"/>
        </w:rPr>
      </w:pPr>
      <w:r>
        <w:rPr>
          <w:rFonts w:ascii="Arial" w:hAnsi="Arial" w:cs="Arial"/>
          <w:sz w:val="24"/>
          <w:szCs w:val="24"/>
        </w:rPr>
        <w:t>De estos resultados con</w:t>
      </w:r>
      <w:r w:rsidR="001F2B2A">
        <w:rPr>
          <w:rFonts w:ascii="Arial" w:hAnsi="Arial" w:cs="Arial"/>
          <w:sz w:val="24"/>
          <w:szCs w:val="24"/>
        </w:rPr>
        <w:t>c</w:t>
      </w:r>
      <w:r>
        <w:rPr>
          <w:rFonts w:ascii="Arial" w:hAnsi="Arial" w:cs="Arial"/>
          <w:sz w:val="24"/>
          <w:szCs w:val="24"/>
        </w:rPr>
        <w:t xml:space="preserve">luyó el estudio, </w:t>
      </w:r>
      <w:r w:rsidR="002F1D19" w:rsidRPr="002F1D19">
        <w:rPr>
          <w:rFonts w:ascii="Arial" w:hAnsi="Arial" w:cs="Arial"/>
          <w:sz w:val="24"/>
          <w:szCs w:val="24"/>
        </w:rPr>
        <w:t>que los principales factores que condicionan los terrenoscomo adecuados para la implementación de cementerios son: áreaselevadas, homogeneidad del suelo, nivel bajo de la napa freática,espesor del área no saturada.</w:t>
      </w:r>
    </w:p>
    <w:p w:rsidR="00F2687F" w:rsidRDefault="00F2687F" w:rsidP="00A5253D">
      <w:pPr>
        <w:spacing w:after="0"/>
        <w:jc w:val="both"/>
        <w:rPr>
          <w:rFonts w:ascii="Arial" w:hAnsi="Arial" w:cs="Arial"/>
          <w:sz w:val="24"/>
          <w:szCs w:val="24"/>
        </w:rPr>
      </w:pPr>
    </w:p>
    <w:p w:rsidR="0061384D" w:rsidRDefault="00F2687F" w:rsidP="00A5253D">
      <w:pPr>
        <w:spacing w:after="0"/>
        <w:jc w:val="both"/>
        <w:rPr>
          <w:rFonts w:ascii="Arial" w:hAnsi="Arial" w:cs="Arial"/>
          <w:sz w:val="24"/>
          <w:szCs w:val="24"/>
        </w:rPr>
      </w:pPr>
      <w:r>
        <w:rPr>
          <w:rFonts w:ascii="Arial" w:hAnsi="Arial" w:cs="Arial"/>
          <w:sz w:val="24"/>
          <w:szCs w:val="24"/>
        </w:rPr>
        <w:t xml:space="preserve">Dicho estudio estableció de esta forma las siguientes recomendaciones: </w:t>
      </w:r>
    </w:p>
    <w:p w:rsidR="009C681A" w:rsidRDefault="009C681A" w:rsidP="00A5253D">
      <w:pPr>
        <w:spacing w:after="0"/>
        <w:jc w:val="both"/>
        <w:rPr>
          <w:rFonts w:ascii="Arial" w:hAnsi="Arial" w:cs="Arial"/>
          <w:sz w:val="24"/>
          <w:szCs w:val="24"/>
        </w:rPr>
      </w:pPr>
    </w:p>
    <w:p w:rsidR="0061384D" w:rsidRPr="00716599" w:rsidRDefault="0061384D" w:rsidP="00716599">
      <w:pPr>
        <w:pStyle w:val="Prrafodelista"/>
        <w:numPr>
          <w:ilvl w:val="0"/>
          <w:numId w:val="2"/>
        </w:numPr>
        <w:spacing w:after="0"/>
        <w:jc w:val="both"/>
        <w:rPr>
          <w:rFonts w:ascii="Arial" w:hAnsi="Arial" w:cs="Arial"/>
          <w:sz w:val="24"/>
          <w:szCs w:val="24"/>
        </w:rPr>
      </w:pPr>
      <w:r w:rsidRPr="00716599">
        <w:rPr>
          <w:rFonts w:ascii="Arial" w:hAnsi="Arial" w:cs="Arial"/>
          <w:sz w:val="24"/>
          <w:szCs w:val="24"/>
        </w:rPr>
        <w:t>Promover campañas de concientización e incentivo a la cremación en caso de enfermedades contagiosas.</w:t>
      </w:r>
    </w:p>
    <w:p w:rsidR="0061384D" w:rsidRPr="00716599" w:rsidRDefault="0061384D" w:rsidP="00716599">
      <w:pPr>
        <w:pStyle w:val="Prrafodelista"/>
        <w:numPr>
          <w:ilvl w:val="0"/>
          <w:numId w:val="2"/>
        </w:numPr>
        <w:spacing w:after="0"/>
        <w:jc w:val="both"/>
        <w:rPr>
          <w:rFonts w:ascii="Arial" w:hAnsi="Arial" w:cs="Arial"/>
          <w:sz w:val="24"/>
          <w:szCs w:val="24"/>
        </w:rPr>
      </w:pPr>
      <w:r w:rsidRPr="00716599">
        <w:rPr>
          <w:rFonts w:ascii="Arial" w:hAnsi="Arial" w:cs="Arial"/>
          <w:sz w:val="24"/>
          <w:szCs w:val="24"/>
        </w:rPr>
        <w:t>No utilizar sepulturas para inhumación.</w:t>
      </w:r>
    </w:p>
    <w:p w:rsidR="0061384D" w:rsidRPr="00716599" w:rsidRDefault="0061384D" w:rsidP="00716599">
      <w:pPr>
        <w:pStyle w:val="Prrafodelista"/>
        <w:numPr>
          <w:ilvl w:val="0"/>
          <w:numId w:val="2"/>
        </w:numPr>
        <w:spacing w:after="0"/>
        <w:jc w:val="both"/>
        <w:rPr>
          <w:rFonts w:ascii="Arial" w:hAnsi="Arial" w:cs="Arial"/>
          <w:sz w:val="24"/>
          <w:szCs w:val="24"/>
        </w:rPr>
      </w:pPr>
      <w:r w:rsidRPr="00716599">
        <w:rPr>
          <w:rFonts w:ascii="Arial" w:hAnsi="Arial" w:cs="Arial"/>
          <w:sz w:val="24"/>
          <w:szCs w:val="24"/>
        </w:rPr>
        <w:t>Un control riguroso del monitoreo hidrológico.</w:t>
      </w:r>
    </w:p>
    <w:p w:rsidR="0061384D" w:rsidRPr="00716599" w:rsidRDefault="0061384D" w:rsidP="00716599">
      <w:pPr>
        <w:pStyle w:val="Prrafodelista"/>
        <w:numPr>
          <w:ilvl w:val="0"/>
          <w:numId w:val="2"/>
        </w:numPr>
        <w:spacing w:after="0"/>
        <w:jc w:val="both"/>
        <w:rPr>
          <w:rFonts w:ascii="Arial" w:hAnsi="Arial" w:cs="Arial"/>
          <w:sz w:val="24"/>
          <w:szCs w:val="24"/>
        </w:rPr>
      </w:pPr>
      <w:r w:rsidRPr="00716599">
        <w:rPr>
          <w:rFonts w:ascii="Arial" w:hAnsi="Arial" w:cs="Arial"/>
          <w:sz w:val="24"/>
          <w:szCs w:val="24"/>
        </w:rPr>
        <w:lastRenderedPageBreak/>
        <w:t>Motivar a las autoridades encargadas del control y monitoreo de las aguas subterráneas.</w:t>
      </w:r>
    </w:p>
    <w:p w:rsidR="00F2687F" w:rsidRPr="00716599" w:rsidRDefault="0061384D" w:rsidP="00716599">
      <w:pPr>
        <w:pStyle w:val="Prrafodelista"/>
        <w:numPr>
          <w:ilvl w:val="0"/>
          <w:numId w:val="2"/>
        </w:numPr>
        <w:spacing w:after="0"/>
        <w:jc w:val="both"/>
        <w:rPr>
          <w:rFonts w:ascii="Arial" w:hAnsi="Arial" w:cs="Arial"/>
          <w:sz w:val="24"/>
          <w:szCs w:val="24"/>
          <w:u w:val="single"/>
        </w:rPr>
      </w:pPr>
      <w:r w:rsidRPr="00716599">
        <w:rPr>
          <w:rFonts w:ascii="Arial" w:hAnsi="Arial" w:cs="Arial"/>
          <w:sz w:val="24"/>
          <w:szCs w:val="24"/>
          <w:u w:val="single"/>
        </w:rPr>
        <w:t>Seguir correctamente las normas para la construcción de nuevos cementerios.</w:t>
      </w:r>
    </w:p>
    <w:p w:rsidR="009C681A" w:rsidRDefault="009C681A" w:rsidP="00A5253D">
      <w:pPr>
        <w:spacing w:after="0"/>
        <w:jc w:val="both"/>
        <w:rPr>
          <w:rFonts w:ascii="Arial" w:hAnsi="Arial" w:cs="Arial"/>
          <w:sz w:val="24"/>
          <w:szCs w:val="24"/>
          <w:u w:val="single"/>
        </w:rPr>
      </w:pPr>
    </w:p>
    <w:p w:rsidR="009C681A" w:rsidRDefault="00E83CDB" w:rsidP="00A3164E">
      <w:pPr>
        <w:spacing w:after="0"/>
        <w:jc w:val="both"/>
        <w:rPr>
          <w:rFonts w:ascii="Arial" w:hAnsi="Arial" w:cs="Arial"/>
          <w:sz w:val="24"/>
          <w:szCs w:val="24"/>
        </w:rPr>
      </w:pPr>
      <w:r>
        <w:rPr>
          <w:rFonts w:ascii="Arial" w:hAnsi="Arial" w:cs="Arial"/>
          <w:sz w:val="24"/>
          <w:szCs w:val="24"/>
        </w:rPr>
        <w:t xml:space="preserve">En relación con el </w:t>
      </w:r>
      <w:r w:rsidR="00EA0741">
        <w:rPr>
          <w:rFonts w:ascii="Arial" w:hAnsi="Arial" w:cs="Arial"/>
          <w:sz w:val="24"/>
          <w:szCs w:val="24"/>
        </w:rPr>
        <w:t>caso</w:t>
      </w:r>
      <w:r>
        <w:rPr>
          <w:rFonts w:ascii="Arial" w:hAnsi="Arial" w:cs="Arial"/>
          <w:sz w:val="24"/>
          <w:szCs w:val="24"/>
        </w:rPr>
        <w:t xml:space="preserve"> de</w:t>
      </w:r>
      <w:r w:rsidR="008F6F4D">
        <w:rPr>
          <w:rFonts w:ascii="Arial" w:hAnsi="Arial" w:cs="Arial"/>
          <w:sz w:val="24"/>
          <w:szCs w:val="24"/>
        </w:rPr>
        <w:t xml:space="preserve"> Perú</w:t>
      </w:r>
      <w:r>
        <w:rPr>
          <w:rFonts w:ascii="Arial" w:hAnsi="Arial" w:cs="Arial"/>
          <w:sz w:val="24"/>
          <w:szCs w:val="24"/>
        </w:rPr>
        <w:t xml:space="preserve">, </w:t>
      </w:r>
      <w:r w:rsidR="00EA0741">
        <w:rPr>
          <w:rFonts w:ascii="Arial" w:hAnsi="Arial" w:cs="Arial"/>
          <w:sz w:val="24"/>
          <w:szCs w:val="24"/>
        </w:rPr>
        <w:t>éste</w:t>
      </w:r>
      <w:r>
        <w:rPr>
          <w:rFonts w:ascii="Arial" w:hAnsi="Arial" w:cs="Arial"/>
          <w:sz w:val="24"/>
          <w:szCs w:val="24"/>
        </w:rPr>
        <w:t xml:space="preserve"> se refiere a un estudio</w:t>
      </w:r>
      <w:r w:rsidR="00972C80">
        <w:rPr>
          <w:rFonts w:ascii="Arial" w:hAnsi="Arial" w:cs="Arial"/>
          <w:sz w:val="24"/>
          <w:szCs w:val="24"/>
        </w:rPr>
        <w:t xml:space="preserve"> denominado: “</w:t>
      </w:r>
      <w:r w:rsidR="00972C80" w:rsidRPr="00972C80">
        <w:rPr>
          <w:rFonts w:ascii="Arial" w:hAnsi="Arial" w:cs="Arial"/>
          <w:sz w:val="24"/>
          <w:szCs w:val="24"/>
        </w:rPr>
        <w:t>Evaluación y Gestión de Riesgos por Cementerios en Lima Metropolitana y Callao</w:t>
      </w:r>
      <w:r w:rsidR="00972C80">
        <w:rPr>
          <w:rFonts w:ascii="Arial" w:hAnsi="Arial" w:cs="Arial"/>
          <w:sz w:val="24"/>
          <w:szCs w:val="24"/>
        </w:rPr>
        <w:t>”</w:t>
      </w:r>
      <w:r w:rsidR="00D10BE4">
        <w:rPr>
          <w:rStyle w:val="Refdenotaalpie"/>
          <w:rFonts w:ascii="Arial" w:hAnsi="Arial" w:cs="Arial"/>
          <w:sz w:val="24"/>
          <w:szCs w:val="24"/>
        </w:rPr>
        <w:footnoteReference w:id="10"/>
      </w:r>
      <w:r w:rsidR="0016024A">
        <w:rPr>
          <w:rFonts w:ascii="Arial" w:hAnsi="Arial" w:cs="Arial"/>
          <w:sz w:val="24"/>
          <w:szCs w:val="24"/>
        </w:rPr>
        <w:t xml:space="preserve">. </w:t>
      </w:r>
      <w:r w:rsidR="00A3164E" w:rsidRPr="00A3164E">
        <w:rPr>
          <w:rFonts w:ascii="Arial" w:hAnsi="Arial" w:cs="Arial"/>
          <w:sz w:val="24"/>
          <w:szCs w:val="24"/>
        </w:rPr>
        <w:t>La investigación comprobó que en varios de los cementerios estudiados, ocurríanconcentraciones anormales de amonio generado por el proceso natural de ladiseminación de las poliaminas “cadaverina”, “putresina”, contenidas en el necrocromo migrante en el nivel freático.</w:t>
      </w:r>
    </w:p>
    <w:p w:rsidR="00AA4FFC" w:rsidRDefault="00AA4FFC" w:rsidP="00D10437">
      <w:pPr>
        <w:spacing w:after="0"/>
        <w:jc w:val="both"/>
        <w:rPr>
          <w:rFonts w:ascii="Arial" w:hAnsi="Arial" w:cs="Arial"/>
          <w:sz w:val="24"/>
          <w:szCs w:val="24"/>
        </w:rPr>
      </w:pPr>
    </w:p>
    <w:p w:rsidR="00AA4FFC" w:rsidRPr="008F6F4D" w:rsidRDefault="00AA4FFC" w:rsidP="00A3164E">
      <w:pPr>
        <w:spacing w:after="0"/>
        <w:jc w:val="both"/>
        <w:rPr>
          <w:rFonts w:ascii="Arial" w:hAnsi="Arial" w:cs="Arial"/>
          <w:sz w:val="24"/>
          <w:szCs w:val="24"/>
        </w:rPr>
      </w:pPr>
      <w:r>
        <w:rPr>
          <w:rFonts w:ascii="Arial" w:hAnsi="Arial" w:cs="Arial"/>
          <w:sz w:val="24"/>
          <w:szCs w:val="24"/>
        </w:rPr>
        <w:t xml:space="preserve">Del análisis de estos casos documentados, </w:t>
      </w:r>
      <w:r w:rsidR="0097634E">
        <w:rPr>
          <w:rFonts w:ascii="Arial" w:hAnsi="Arial" w:cs="Arial"/>
          <w:sz w:val="24"/>
          <w:szCs w:val="24"/>
        </w:rPr>
        <w:t xml:space="preserve">aunque </w:t>
      </w:r>
      <w:r>
        <w:rPr>
          <w:rFonts w:ascii="Arial" w:hAnsi="Arial" w:cs="Arial"/>
          <w:sz w:val="24"/>
          <w:szCs w:val="24"/>
        </w:rPr>
        <w:t xml:space="preserve">sólo en América latina, es posible corroborar </w:t>
      </w:r>
      <w:r w:rsidR="0097634E">
        <w:rPr>
          <w:rFonts w:ascii="Arial" w:hAnsi="Arial" w:cs="Arial"/>
          <w:sz w:val="24"/>
          <w:szCs w:val="24"/>
        </w:rPr>
        <w:t>la</w:t>
      </w:r>
      <w:r w:rsidRPr="00AA4FFC">
        <w:rPr>
          <w:rFonts w:ascii="Arial" w:hAnsi="Arial" w:cs="Arial"/>
          <w:sz w:val="24"/>
          <w:szCs w:val="24"/>
        </w:rPr>
        <w:t xml:space="preserve"> evidente contaminación de aguas subterráneas</w:t>
      </w:r>
      <w:r w:rsidR="0097634E">
        <w:rPr>
          <w:rFonts w:ascii="Arial" w:hAnsi="Arial" w:cs="Arial"/>
          <w:sz w:val="24"/>
          <w:szCs w:val="24"/>
        </w:rPr>
        <w:t>,</w:t>
      </w:r>
      <w:r w:rsidRPr="00AA4FFC">
        <w:rPr>
          <w:rFonts w:ascii="Arial" w:hAnsi="Arial" w:cs="Arial"/>
          <w:sz w:val="24"/>
          <w:szCs w:val="24"/>
        </w:rPr>
        <w:t xml:space="preserve"> porlixiviados provenientes de la localización de cementerios en sus áreasde influencia, y que la contaminación patogénica</w:t>
      </w:r>
      <w:r w:rsidR="0097634E">
        <w:rPr>
          <w:rFonts w:ascii="Arial" w:hAnsi="Arial" w:cs="Arial"/>
          <w:sz w:val="24"/>
          <w:szCs w:val="24"/>
        </w:rPr>
        <w:t>,</w:t>
      </w:r>
      <w:r>
        <w:rPr>
          <w:rFonts w:ascii="Arial" w:hAnsi="Arial" w:cs="Arial"/>
          <w:sz w:val="24"/>
          <w:szCs w:val="24"/>
        </w:rPr>
        <w:t xml:space="preserve">efectiva y potencialmente </w:t>
      </w:r>
      <w:r w:rsidRPr="00AA4FFC">
        <w:rPr>
          <w:rFonts w:ascii="Arial" w:hAnsi="Arial" w:cs="Arial"/>
          <w:sz w:val="24"/>
          <w:szCs w:val="24"/>
        </w:rPr>
        <w:t>ocasiona impactosnegativos en la salud de las personas.</w:t>
      </w:r>
    </w:p>
    <w:p w:rsidR="00A5253D" w:rsidRPr="00A5253D" w:rsidRDefault="00A5253D" w:rsidP="00A5253D">
      <w:pPr>
        <w:spacing w:after="0"/>
        <w:jc w:val="both"/>
        <w:rPr>
          <w:rFonts w:ascii="Arial" w:hAnsi="Arial" w:cs="Arial"/>
          <w:sz w:val="24"/>
        </w:rPr>
      </w:pPr>
    </w:p>
    <w:p w:rsidR="007D0AAC" w:rsidRPr="00316DE5" w:rsidRDefault="00316DE5" w:rsidP="0098521D">
      <w:pPr>
        <w:jc w:val="both"/>
        <w:rPr>
          <w:rFonts w:ascii="Arial" w:hAnsi="Arial" w:cs="Arial"/>
          <w:b/>
          <w:sz w:val="24"/>
          <w:szCs w:val="24"/>
        </w:rPr>
      </w:pPr>
      <w:r w:rsidRPr="00316DE5">
        <w:rPr>
          <w:rFonts w:ascii="Arial" w:hAnsi="Arial" w:cs="Arial"/>
          <w:b/>
          <w:sz w:val="24"/>
          <w:szCs w:val="24"/>
        </w:rPr>
        <w:t>GENERALIDADES</w:t>
      </w:r>
      <w:r w:rsidR="004F3CD9" w:rsidRPr="00316DE5">
        <w:rPr>
          <w:rFonts w:ascii="Arial" w:hAnsi="Arial" w:cs="Arial"/>
          <w:b/>
          <w:sz w:val="24"/>
          <w:szCs w:val="24"/>
        </w:rPr>
        <w:t>:</w:t>
      </w:r>
    </w:p>
    <w:p w:rsidR="00F97B64" w:rsidRPr="00AF267E" w:rsidRDefault="00F97B64" w:rsidP="004F3CD9">
      <w:pPr>
        <w:jc w:val="both"/>
        <w:rPr>
          <w:rFonts w:ascii="Arial" w:hAnsi="Arial" w:cs="Arial"/>
          <w:sz w:val="24"/>
          <w:szCs w:val="24"/>
        </w:rPr>
      </w:pPr>
      <w:r w:rsidRPr="00AF267E">
        <w:rPr>
          <w:rFonts w:ascii="Arial" w:hAnsi="Arial" w:cs="Arial"/>
          <w:sz w:val="24"/>
          <w:szCs w:val="24"/>
        </w:rPr>
        <w:t>Los principales agentes contaminantes de las aguas son</w:t>
      </w:r>
      <w:r w:rsidR="009D2765" w:rsidRPr="00AF267E">
        <w:rPr>
          <w:rStyle w:val="Refdenotaalpie"/>
          <w:rFonts w:ascii="Arial" w:hAnsi="Arial" w:cs="Arial"/>
          <w:sz w:val="24"/>
          <w:szCs w:val="24"/>
        </w:rPr>
        <w:footnoteReference w:id="11"/>
      </w:r>
      <w:r w:rsidRPr="00AF267E">
        <w:rPr>
          <w:rFonts w:ascii="Arial" w:hAnsi="Arial" w:cs="Arial"/>
          <w:sz w:val="24"/>
          <w:szCs w:val="24"/>
        </w:rPr>
        <w:t>:</w:t>
      </w:r>
    </w:p>
    <w:p w:rsidR="00F97B64" w:rsidRDefault="00F97B64" w:rsidP="00EB739F">
      <w:pPr>
        <w:pStyle w:val="Prrafodelista"/>
        <w:numPr>
          <w:ilvl w:val="0"/>
          <w:numId w:val="1"/>
        </w:numPr>
        <w:jc w:val="both"/>
        <w:rPr>
          <w:rFonts w:ascii="Arial" w:hAnsi="Arial" w:cs="Arial"/>
          <w:sz w:val="24"/>
          <w:szCs w:val="24"/>
        </w:rPr>
      </w:pPr>
      <w:r w:rsidRPr="009D52A3">
        <w:rPr>
          <w:rFonts w:ascii="Arial" w:hAnsi="Arial" w:cs="Arial"/>
          <w:sz w:val="24"/>
          <w:szCs w:val="24"/>
        </w:rPr>
        <w:t xml:space="preserve">Aguas residuales </w:t>
      </w:r>
      <w:r w:rsidR="00EB739F" w:rsidRPr="009D52A3">
        <w:rPr>
          <w:rFonts w:ascii="Arial" w:hAnsi="Arial" w:cs="Arial"/>
          <w:sz w:val="24"/>
          <w:szCs w:val="24"/>
        </w:rPr>
        <w:t>o Desechos orgánicos. Son el conjunto de residuos producidos por los seres humanos, animales etc., incluyen heces y otros materiales que pueden ser descompuestos por bacterias aeróbicas, es decir en procesos con consumo de oxígeno. Cuando este tipo de desechos se encuentran en exceso, la proliferación de bacterias agota el oxígeno, y ya no pueden vivir en estas aguas peces y otros seres vivos que necesitan oxígeno.</w:t>
      </w:r>
    </w:p>
    <w:p w:rsidR="00694331" w:rsidRPr="009D52A3"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Agentes infecciosos (cólera, disentería) causan trastornos gastrointestinales.</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lastRenderedPageBreak/>
        <w:t>Nutrientes vegetales que pueden estimular al crecimiento de las plantas acuáticas. Éstas, a su vez, interfieren con los usos a los que se destina el agua y, al descomponerse, agotan el oxígeno disuelto y producen olores desagradables.</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Productos químicos, incluyendo los pesticidas, diversos productos industriales, las sustancias tensioactivas contenidas en los detergentes, y los productos de la descomposición de otros compuestos orgánicos.</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Minerales inorgánicos y compuestos químicos.</w:t>
      </w:r>
    </w:p>
    <w:p w:rsidR="00694331" w:rsidRPr="00AF267E" w:rsidRDefault="00694331" w:rsidP="00694331">
      <w:pPr>
        <w:pStyle w:val="Prrafodelista"/>
        <w:jc w:val="both"/>
        <w:rPr>
          <w:rFonts w:ascii="Arial" w:hAnsi="Arial" w:cs="Arial"/>
          <w:sz w:val="24"/>
          <w:szCs w:val="24"/>
        </w:rPr>
      </w:pPr>
    </w:p>
    <w:p w:rsidR="00F97B64" w:rsidRPr="00AF267E"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Sedimentos formados por partículas del suelo y minerales arrastrados por las tormentas y escorrentías desde las tierras de cultivo, los suelos sin protección, las explotaciones mineras, las carreteras y los derribos urbanos.</w:t>
      </w: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Sustancias radiactivas procedentes de los residuos producidos por la minería y el refinado del Urano y el torio, las centrales nucleares y el uso industrial, médico y científico de materiales radiactivos.</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El calor también puede ser considerado un contaminante cuando el vertido de agua empleada para la refrigeración de las fábricas y las centrales energéticas hace subir la temperatura del agua de la que se abastecen.</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El mercurio, un metal líquido muy tóxico, se acumula en el fitoplancton. En él las concentraciones son mil veces mayores que en el agua. Los peces pequeños lo concentran aún más, y en el pez grande puede llegar a límites peligrosos para la salud humana. Su concentración en los océanos es muy baja. En las zonas densamente pobladas y con mares donde la circulación de barcos es grande, se llega a concentraciones 100 veces mayores.</w:t>
      </w:r>
    </w:p>
    <w:p w:rsidR="00694331" w:rsidRPr="00AF267E" w:rsidRDefault="00694331" w:rsidP="00694331">
      <w:pPr>
        <w:pStyle w:val="Prrafodelista"/>
        <w:jc w:val="both"/>
        <w:rPr>
          <w:rFonts w:ascii="Arial" w:hAnsi="Arial" w:cs="Arial"/>
          <w:sz w:val="24"/>
          <w:szCs w:val="24"/>
        </w:rPr>
      </w:pPr>
    </w:p>
    <w:p w:rsidR="00F97B64"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t>Contaminación cloacal: una contaminación habitual es la que se produce por bacterias fecales. Eso se debe a que muchas ciudades vuelcan sus líquidos cloacales sin purificar, o con purificación deficiente, a los ríos y al mar. Algunas ciudades no tienen plantas depuradoras; otras las tienen demasiado pequeñas o fuera de funcionamiento. Algunas veces aparecen restos cloacales en las playas. Este problema puede surgir por fallas en los sistemas de bombeo.</w:t>
      </w:r>
    </w:p>
    <w:p w:rsidR="00694331" w:rsidRPr="00AF267E" w:rsidRDefault="00694331" w:rsidP="00694331">
      <w:pPr>
        <w:pStyle w:val="Prrafodelista"/>
        <w:jc w:val="both"/>
        <w:rPr>
          <w:rFonts w:ascii="Arial" w:hAnsi="Arial" w:cs="Arial"/>
          <w:sz w:val="24"/>
          <w:szCs w:val="24"/>
        </w:rPr>
      </w:pPr>
    </w:p>
    <w:p w:rsidR="00F97B64" w:rsidRPr="00AF267E" w:rsidRDefault="00F97B64" w:rsidP="00F97B64">
      <w:pPr>
        <w:pStyle w:val="Prrafodelista"/>
        <w:numPr>
          <w:ilvl w:val="0"/>
          <w:numId w:val="1"/>
        </w:numPr>
        <w:jc w:val="both"/>
        <w:rPr>
          <w:rFonts w:ascii="Arial" w:hAnsi="Arial" w:cs="Arial"/>
          <w:sz w:val="24"/>
          <w:szCs w:val="24"/>
        </w:rPr>
      </w:pPr>
      <w:r w:rsidRPr="00AF267E">
        <w:rPr>
          <w:rFonts w:ascii="Arial" w:hAnsi="Arial" w:cs="Arial"/>
          <w:sz w:val="24"/>
          <w:szCs w:val="24"/>
        </w:rPr>
        <w:lastRenderedPageBreak/>
        <w:t>Derrames de petróleo: los derrames son de los accidentes contaminantes más espectaculares. Se derraman millones de litros de crudo por año. Pero esto se constata si sucede cerca de la costa y se observan los pájaros, mamíferos marinos y peces empetrolados que suelen aparecer muertos en las playas. También cuenta con que ellos son el eslabón inicial en la cadena alimentaria.</w:t>
      </w:r>
    </w:p>
    <w:p w:rsidR="00F97B64" w:rsidRPr="00AF267E" w:rsidRDefault="00DD097F" w:rsidP="004F3CD9">
      <w:pPr>
        <w:jc w:val="both"/>
        <w:rPr>
          <w:rFonts w:ascii="Arial" w:hAnsi="Arial" w:cs="Arial"/>
          <w:sz w:val="24"/>
          <w:szCs w:val="24"/>
        </w:rPr>
      </w:pPr>
      <w:r w:rsidRPr="00AF267E">
        <w:rPr>
          <w:rFonts w:ascii="Arial" w:hAnsi="Arial" w:cs="Arial"/>
          <w:sz w:val="24"/>
          <w:szCs w:val="24"/>
        </w:rPr>
        <w:t xml:space="preserve">La importancia de preservar las aguas subterráneas y evitar a toda costa su contaminación, tiene su explicación en que éstas constituyen las reservas de agua dulce del planeta y son utilizadas para suministrar agua potable a numerosas poblaciones. No obstante debido a su ubicación, esta agua se encuentra altamente expuesta a contaminarse por los residuos que se infiltran a través del suelo. </w:t>
      </w:r>
    </w:p>
    <w:p w:rsidR="00DD097F" w:rsidRPr="00AF267E" w:rsidRDefault="00DD097F" w:rsidP="00DD097F">
      <w:pPr>
        <w:jc w:val="both"/>
        <w:rPr>
          <w:rFonts w:ascii="Arial" w:hAnsi="Arial" w:cs="Arial"/>
          <w:sz w:val="24"/>
          <w:szCs w:val="24"/>
        </w:rPr>
      </w:pPr>
      <w:r w:rsidRPr="00AF267E">
        <w:rPr>
          <w:rFonts w:ascii="Arial" w:hAnsi="Arial" w:cs="Arial"/>
          <w:sz w:val="24"/>
          <w:szCs w:val="24"/>
        </w:rPr>
        <w:t>Se suelen distinguir dos tipos de procesos contaminantes de las aguas subterráneas: los "puntuales" que afectan a zonas muy localizadas, y los "difusos" que provocan contaminación dispersa en zonas amplias, en las que no es fácil identificar un foco principal.</w:t>
      </w:r>
    </w:p>
    <w:p w:rsidR="00DD097F" w:rsidRPr="00AF267E" w:rsidRDefault="00DD097F" w:rsidP="00DD097F">
      <w:pPr>
        <w:jc w:val="both"/>
        <w:rPr>
          <w:rFonts w:ascii="Arial" w:hAnsi="Arial" w:cs="Arial"/>
          <w:sz w:val="24"/>
          <w:szCs w:val="24"/>
        </w:rPr>
      </w:pPr>
      <w:r w:rsidRPr="00AF267E">
        <w:rPr>
          <w:rFonts w:ascii="Arial" w:hAnsi="Arial" w:cs="Arial"/>
          <w:sz w:val="24"/>
          <w:szCs w:val="24"/>
        </w:rPr>
        <w:t>Actividades que suelen provocar contaminación puntual son:</w:t>
      </w:r>
    </w:p>
    <w:p w:rsidR="00DD097F" w:rsidRPr="00694331" w:rsidRDefault="00DD097F" w:rsidP="00694331">
      <w:pPr>
        <w:pStyle w:val="Prrafodelista"/>
        <w:numPr>
          <w:ilvl w:val="0"/>
          <w:numId w:val="6"/>
        </w:numPr>
        <w:tabs>
          <w:tab w:val="left" w:pos="284"/>
        </w:tabs>
        <w:ind w:left="284" w:hanging="284"/>
        <w:jc w:val="both"/>
        <w:rPr>
          <w:rFonts w:ascii="Arial" w:hAnsi="Arial" w:cs="Arial"/>
          <w:b/>
          <w:sz w:val="24"/>
          <w:szCs w:val="24"/>
          <w:u w:val="single"/>
        </w:rPr>
      </w:pPr>
      <w:r w:rsidRPr="00694331">
        <w:rPr>
          <w:rFonts w:ascii="Arial" w:hAnsi="Arial" w:cs="Arial"/>
          <w:b/>
          <w:sz w:val="24"/>
          <w:szCs w:val="24"/>
          <w:u w:val="single"/>
        </w:rPr>
        <w:t>Lixiviados de vertederos de residuos urbanos y fugas de aguas residuales que se infiltran en el terreno.</w:t>
      </w:r>
    </w:p>
    <w:p w:rsidR="00DD097F" w:rsidRPr="00694331" w:rsidRDefault="00DD097F" w:rsidP="00694331">
      <w:pPr>
        <w:pStyle w:val="Prrafodelista"/>
        <w:numPr>
          <w:ilvl w:val="0"/>
          <w:numId w:val="6"/>
        </w:numPr>
        <w:tabs>
          <w:tab w:val="left" w:pos="284"/>
        </w:tabs>
        <w:ind w:left="284" w:hanging="284"/>
        <w:jc w:val="both"/>
        <w:rPr>
          <w:rFonts w:ascii="Arial" w:hAnsi="Arial" w:cs="Arial"/>
          <w:sz w:val="24"/>
          <w:szCs w:val="24"/>
        </w:rPr>
      </w:pPr>
      <w:r w:rsidRPr="00694331">
        <w:rPr>
          <w:rFonts w:ascii="Arial" w:hAnsi="Arial" w:cs="Arial"/>
          <w:sz w:val="24"/>
          <w:szCs w:val="24"/>
        </w:rPr>
        <w:t>Lixiviados de vertederos industriales, derrubios de minas, depósitos de residuos radiactivos o tóxicos mal aislados, gasolineras con fugas en sus depósitos de combustible, etc.</w:t>
      </w:r>
    </w:p>
    <w:p w:rsidR="00DD097F" w:rsidRPr="00694331" w:rsidRDefault="00DD097F" w:rsidP="00694331">
      <w:pPr>
        <w:pStyle w:val="Prrafodelista"/>
        <w:numPr>
          <w:ilvl w:val="0"/>
          <w:numId w:val="6"/>
        </w:numPr>
        <w:tabs>
          <w:tab w:val="left" w:pos="284"/>
        </w:tabs>
        <w:ind w:left="284" w:hanging="284"/>
        <w:jc w:val="both"/>
        <w:rPr>
          <w:rFonts w:ascii="Arial" w:hAnsi="Arial" w:cs="Arial"/>
          <w:sz w:val="24"/>
          <w:szCs w:val="24"/>
        </w:rPr>
      </w:pPr>
      <w:r w:rsidRPr="00694331">
        <w:rPr>
          <w:rFonts w:ascii="Arial" w:hAnsi="Arial" w:cs="Arial"/>
          <w:sz w:val="24"/>
          <w:szCs w:val="24"/>
        </w:rPr>
        <w:t>Pozos sépticos y acumulaciones de purines procedentes de las granjas.</w:t>
      </w:r>
    </w:p>
    <w:p w:rsidR="00DD097F" w:rsidRPr="00AF267E" w:rsidRDefault="00DD097F" w:rsidP="00DD097F">
      <w:pPr>
        <w:jc w:val="both"/>
        <w:rPr>
          <w:rFonts w:ascii="Arial" w:hAnsi="Arial" w:cs="Arial"/>
          <w:sz w:val="24"/>
          <w:szCs w:val="24"/>
        </w:rPr>
      </w:pPr>
      <w:r w:rsidRPr="00AF267E">
        <w:rPr>
          <w:rFonts w:ascii="Arial" w:hAnsi="Arial" w:cs="Arial"/>
          <w:sz w:val="24"/>
          <w:szCs w:val="24"/>
        </w:rPr>
        <w:t>Este tipo de contaminación sueles ser más intensa junto al lugar de origen y se va diluyendo al alejarnos. La dirección que sigue el flujo del agua del subsuelo influye de forma muy importante en determinar en qué lugares los pozos tendrán agua contaminada y en cuáles no. Puede suceder que un lugar relativamente cercano al foco contaminante tenga agua limpia, porque la corriente subterránea aleja el contaminante de ese lugar, y al revés.</w:t>
      </w:r>
    </w:p>
    <w:p w:rsidR="00DD097F" w:rsidRPr="00AF267E" w:rsidRDefault="00DD097F" w:rsidP="00DD097F">
      <w:pPr>
        <w:jc w:val="both"/>
        <w:rPr>
          <w:rFonts w:ascii="Arial" w:hAnsi="Arial" w:cs="Arial"/>
          <w:sz w:val="24"/>
          <w:szCs w:val="24"/>
        </w:rPr>
      </w:pPr>
      <w:r w:rsidRPr="00AF267E">
        <w:rPr>
          <w:rFonts w:ascii="Arial" w:hAnsi="Arial" w:cs="Arial"/>
          <w:sz w:val="24"/>
          <w:szCs w:val="24"/>
        </w:rPr>
        <w:t>La contaminación difusa suele estar provocada por:</w:t>
      </w:r>
    </w:p>
    <w:p w:rsidR="00DD097F" w:rsidRPr="00694331" w:rsidRDefault="00DD097F" w:rsidP="00694331">
      <w:pPr>
        <w:pStyle w:val="Prrafodelista"/>
        <w:numPr>
          <w:ilvl w:val="0"/>
          <w:numId w:val="8"/>
        </w:numPr>
        <w:ind w:left="284" w:hanging="284"/>
        <w:jc w:val="both"/>
        <w:rPr>
          <w:rFonts w:ascii="Arial" w:hAnsi="Arial" w:cs="Arial"/>
          <w:sz w:val="24"/>
          <w:szCs w:val="24"/>
        </w:rPr>
      </w:pPr>
      <w:r w:rsidRPr="00694331">
        <w:rPr>
          <w:rFonts w:ascii="Arial" w:hAnsi="Arial" w:cs="Arial"/>
          <w:sz w:val="24"/>
          <w:szCs w:val="24"/>
        </w:rPr>
        <w:t>Uso excesivo de fertilizantes y pesticidas en la agricultura o en las prácticas forestales.</w:t>
      </w:r>
    </w:p>
    <w:p w:rsidR="00DD097F" w:rsidRPr="00694331" w:rsidRDefault="00DD097F" w:rsidP="00694331">
      <w:pPr>
        <w:pStyle w:val="Prrafodelista"/>
        <w:numPr>
          <w:ilvl w:val="0"/>
          <w:numId w:val="8"/>
        </w:numPr>
        <w:ind w:left="284" w:hanging="284"/>
        <w:jc w:val="both"/>
        <w:rPr>
          <w:rFonts w:ascii="Arial" w:hAnsi="Arial" w:cs="Arial"/>
          <w:sz w:val="24"/>
          <w:szCs w:val="24"/>
        </w:rPr>
      </w:pPr>
      <w:r w:rsidRPr="00694331">
        <w:rPr>
          <w:rFonts w:ascii="Arial" w:hAnsi="Arial" w:cs="Arial"/>
          <w:sz w:val="24"/>
          <w:szCs w:val="24"/>
        </w:rPr>
        <w:lastRenderedPageBreak/>
        <w:t>Explotación excesiva de los acuíferos que facilita el que las aguas salinas invadan la zona de aguas dulces, por desplazamiento de la interfa</w:t>
      </w:r>
      <w:r w:rsidR="0063357D" w:rsidRPr="00694331">
        <w:rPr>
          <w:rFonts w:ascii="Arial" w:hAnsi="Arial" w:cs="Arial"/>
          <w:sz w:val="24"/>
          <w:szCs w:val="24"/>
        </w:rPr>
        <w:t>c</w:t>
      </w:r>
      <w:r w:rsidRPr="00694331">
        <w:rPr>
          <w:rFonts w:ascii="Arial" w:hAnsi="Arial" w:cs="Arial"/>
          <w:sz w:val="24"/>
          <w:szCs w:val="24"/>
        </w:rPr>
        <w:t>e entre los dos tipos de aguas.</w:t>
      </w:r>
    </w:p>
    <w:p w:rsidR="00DD097F" w:rsidRPr="00AF267E" w:rsidRDefault="00DD097F" w:rsidP="00DD097F">
      <w:pPr>
        <w:jc w:val="both"/>
        <w:rPr>
          <w:rFonts w:ascii="Arial" w:hAnsi="Arial" w:cs="Arial"/>
          <w:sz w:val="24"/>
          <w:szCs w:val="24"/>
        </w:rPr>
      </w:pPr>
      <w:r w:rsidRPr="00AF267E">
        <w:rPr>
          <w:rFonts w:ascii="Arial" w:hAnsi="Arial" w:cs="Arial"/>
          <w:sz w:val="24"/>
          <w:szCs w:val="24"/>
        </w:rPr>
        <w:t>Este tipo de contaminación puede provocar situaciones especialmente preocupantes con el paso del tiempo, al ir cargándose de contaminación, lenta pero continuamente, zonas muy extensas.</w:t>
      </w:r>
    </w:p>
    <w:p w:rsidR="002D7149" w:rsidRPr="00AF267E" w:rsidRDefault="002D7149" w:rsidP="00FB416B">
      <w:pPr>
        <w:jc w:val="both"/>
        <w:rPr>
          <w:rFonts w:ascii="Arial" w:hAnsi="Arial" w:cs="Arial"/>
          <w:sz w:val="24"/>
          <w:szCs w:val="24"/>
        </w:rPr>
      </w:pPr>
      <w:r w:rsidRPr="00AF267E">
        <w:rPr>
          <w:rFonts w:ascii="Arial" w:hAnsi="Arial" w:cs="Arial"/>
          <w:sz w:val="24"/>
          <w:szCs w:val="24"/>
        </w:rPr>
        <w:t xml:space="preserve">Respecto del proceso </w:t>
      </w:r>
      <w:r w:rsidR="00DA2F70" w:rsidRPr="00AF267E">
        <w:rPr>
          <w:rFonts w:ascii="Arial" w:hAnsi="Arial" w:cs="Arial"/>
          <w:sz w:val="24"/>
          <w:szCs w:val="24"/>
        </w:rPr>
        <w:t xml:space="preserve">natural </w:t>
      </w:r>
      <w:r w:rsidRPr="00AF267E">
        <w:rPr>
          <w:rFonts w:ascii="Arial" w:hAnsi="Arial" w:cs="Arial"/>
          <w:sz w:val="24"/>
          <w:szCs w:val="24"/>
        </w:rPr>
        <w:t>de autodepuración,  que elimina los contaminantes de las aguas subterráneas, infortunadamente es más lento que en las aguas superficiales</w:t>
      </w:r>
      <w:r w:rsidR="00FB416B" w:rsidRPr="00AF267E">
        <w:rPr>
          <w:rFonts w:ascii="Arial" w:hAnsi="Arial" w:cs="Arial"/>
          <w:sz w:val="24"/>
          <w:szCs w:val="24"/>
        </w:rPr>
        <w:t xml:space="preserve">. Adicionalmente esta capacidad, es </w:t>
      </w:r>
      <w:r w:rsidRPr="00AF267E">
        <w:rPr>
          <w:rFonts w:ascii="Arial" w:hAnsi="Arial" w:cs="Arial"/>
          <w:sz w:val="24"/>
          <w:szCs w:val="24"/>
        </w:rPr>
        <w:t>mayor o menor según eltipo de roca y otras características</w:t>
      </w:r>
      <w:r w:rsidR="00FB416B" w:rsidRPr="00AF267E">
        <w:rPr>
          <w:rFonts w:ascii="Arial" w:hAnsi="Arial" w:cs="Arial"/>
          <w:sz w:val="24"/>
          <w:szCs w:val="24"/>
        </w:rPr>
        <w:t xml:space="preserve"> del subsuelo, por lo que puede hacer los acuíferos</w:t>
      </w:r>
      <w:r w:rsidRPr="00AF267E">
        <w:rPr>
          <w:rFonts w:ascii="Arial" w:hAnsi="Arial" w:cs="Arial"/>
          <w:sz w:val="24"/>
          <w:szCs w:val="24"/>
        </w:rPr>
        <w:t xml:space="preserve"> mucho mássensibles a la contaminación.</w:t>
      </w:r>
    </w:p>
    <w:p w:rsidR="004F3CD9" w:rsidRDefault="00FB416B" w:rsidP="00FB416B">
      <w:pPr>
        <w:jc w:val="both"/>
        <w:rPr>
          <w:rFonts w:ascii="Arial" w:hAnsi="Arial" w:cs="Arial"/>
          <w:sz w:val="24"/>
          <w:szCs w:val="24"/>
        </w:rPr>
      </w:pPr>
      <w:r w:rsidRPr="00AF267E">
        <w:rPr>
          <w:rFonts w:ascii="Arial" w:hAnsi="Arial" w:cs="Arial"/>
          <w:sz w:val="24"/>
          <w:szCs w:val="24"/>
        </w:rPr>
        <w:t xml:space="preserve">Debido a este grado de sensibilidad y exposición, y a que </w:t>
      </w:r>
      <w:r w:rsidR="002D7149" w:rsidRPr="00AF267E">
        <w:rPr>
          <w:rFonts w:ascii="Arial" w:hAnsi="Arial" w:cs="Arial"/>
          <w:sz w:val="24"/>
          <w:szCs w:val="24"/>
        </w:rPr>
        <w:t>las posibilidades de</w:t>
      </w:r>
      <w:r w:rsidRPr="00AF267E">
        <w:rPr>
          <w:rFonts w:ascii="Arial" w:hAnsi="Arial" w:cs="Arial"/>
          <w:sz w:val="24"/>
          <w:szCs w:val="24"/>
        </w:rPr>
        <w:t xml:space="preserve"> depuración de las aguas subterráneas</w:t>
      </w:r>
      <w:r w:rsidR="002D7149" w:rsidRPr="00AF267E">
        <w:rPr>
          <w:rFonts w:ascii="Arial" w:hAnsi="Arial" w:cs="Arial"/>
          <w:sz w:val="24"/>
          <w:szCs w:val="24"/>
        </w:rPr>
        <w:t xml:space="preserve"> son limitadas</w:t>
      </w:r>
      <w:r w:rsidRPr="00AF267E">
        <w:rPr>
          <w:rFonts w:ascii="Arial" w:hAnsi="Arial" w:cs="Arial"/>
          <w:sz w:val="24"/>
          <w:szCs w:val="24"/>
        </w:rPr>
        <w:t xml:space="preserve">, difíciles y costosas, el mejor método de protección es </w:t>
      </w:r>
      <w:r w:rsidR="002D7149" w:rsidRPr="00AF267E">
        <w:rPr>
          <w:rFonts w:ascii="Arial" w:hAnsi="Arial" w:cs="Arial"/>
          <w:sz w:val="24"/>
          <w:szCs w:val="24"/>
        </w:rPr>
        <w:t xml:space="preserve">la prevención. </w:t>
      </w:r>
      <w:r w:rsidR="002D7149" w:rsidRPr="00AF267E">
        <w:rPr>
          <w:rFonts w:ascii="Arial" w:hAnsi="Arial" w:cs="Arial"/>
          <w:sz w:val="24"/>
          <w:szCs w:val="24"/>
          <w:u w:val="single"/>
        </w:rPr>
        <w:t>No contaminar</w:t>
      </w:r>
      <w:r w:rsidR="002D7149" w:rsidRPr="00AF267E">
        <w:rPr>
          <w:rFonts w:ascii="Arial" w:hAnsi="Arial" w:cs="Arial"/>
          <w:sz w:val="24"/>
          <w:szCs w:val="24"/>
        </w:rPr>
        <w:t xml:space="preserve">, </w:t>
      </w:r>
      <w:r w:rsidR="002D7149" w:rsidRPr="00AF267E">
        <w:rPr>
          <w:rFonts w:ascii="Arial" w:hAnsi="Arial" w:cs="Arial"/>
          <w:sz w:val="24"/>
          <w:szCs w:val="24"/>
          <w:u w:val="single"/>
        </w:rPr>
        <w:t>controlar los focos de contaminación para conocerbien sus efectos y evitar que las sustancias contaminantes lleguen al acuífero</w:t>
      </w:r>
      <w:r w:rsidR="00F71342">
        <w:rPr>
          <w:rStyle w:val="Refdenotaalpie"/>
          <w:rFonts w:ascii="Arial" w:hAnsi="Arial" w:cs="Arial"/>
          <w:sz w:val="24"/>
          <w:szCs w:val="24"/>
          <w:u w:val="single"/>
        </w:rPr>
        <w:footnoteReference w:id="12"/>
      </w:r>
      <w:r w:rsidRPr="00AF267E">
        <w:rPr>
          <w:rFonts w:ascii="Arial" w:hAnsi="Arial" w:cs="Arial"/>
          <w:sz w:val="24"/>
          <w:szCs w:val="24"/>
          <w:u w:val="single"/>
        </w:rPr>
        <w:t>.</w:t>
      </w:r>
    </w:p>
    <w:p w:rsidR="002A2512" w:rsidRDefault="005A2EF1" w:rsidP="00465603">
      <w:pPr>
        <w:jc w:val="both"/>
        <w:rPr>
          <w:rFonts w:ascii="Arial" w:hAnsi="Arial" w:cs="Arial"/>
          <w:sz w:val="24"/>
          <w:szCs w:val="24"/>
        </w:rPr>
      </w:pPr>
      <w:r w:rsidRPr="005A2EF1">
        <w:rPr>
          <w:rFonts w:ascii="Arial" w:hAnsi="Arial" w:cs="Arial"/>
          <w:sz w:val="24"/>
          <w:szCs w:val="24"/>
        </w:rPr>
        <w:t>En</w:t>
      </w:r>
      <w:r>
        <w:rPr>
          <w:rFonts w:ascii="Arial" w:hAnsi="Arial" w:cs="Arial"/>
          <w:sz w:val="24"/>
          <w:szCs w:val="24"/>
        </w:rPr>
        <w:t xml:space="preserve"> el caso de los cementerios, siendo instalaciones de las cuales se derivan desechos peligrosos como los lixiviados, es necesario considerar los </w:t>
      </w:r>
      <w:r w:rsidRPr="005A2EF1">
        <w:rPr>
          <w:rFonts w:ascii="Arial" w:hAnsi="Arial" w:cs="Arial"/>
          <w:b/>
          <w:i/>
          <w:sz w:val="24"/>
          <w:szCs w:val="24"/>
        </w:rPr>
        <w:t>e</w:t>
      </w:r>
      <w:r w:rsidR="00465603" w:rsidRPr="00A44A28">
        <w:rPr>
          <w:rFonts w:ascii="Arial" w:hAnsi="Arial" w:cs="Arial"/>
          <w:b/>
          <w:i/>
          <w:sz w:val="24"/>
          <w:szCs w:val="24"/>
        </w:rPr>
        <w:t xml:space="preserve">fectos del proceso dedescomposicióndeorganismos, que tiene lugar en </w:t>
      </w:r>
      <w:r>
        <w:rPr>
          <w:rFonts w:ascii="Arial" w:hAnsi="Arial" w:cs="Arial"/>
          <w:b/>
          <w:i/>
          <w:sz w:val="24"/>
          <w:szCs w:val="24"/>
        </w:rPr>
        <w:t>dichos espacios</w:t>
      </w:r>
      <w:r w:rsidR="00465603" w:rsidRPr="00A44A28">
        <w:rPr>
          <w:rFonts w:ascii="Arial" w:hAnsi="Arial" w:cs="Arial"/>
          <w:b/>
          <w:i/>
          <w:sz w:val="24"/>
          <w:szCs w:val="24"/>
        </w:rPr>
        <w:t>.</w:t>
      </w:r>
      <w:r w:rsidR="00AA4FFC">
        <w:rPr>
          <w:rFonts w:ascii="Arial" w:hAnsi="Arial" w:cs="Arial"/>
          <w:sz w:val="24"/>
          <w:szCs w:val="24"/>
        </w:rPr>
        <w:t>Como principal aspecto a tener en cuenta, se tiene que e</w:t>
      </w:r>
      <w:r w:rsidR="00465603" w:rsidRPr="00465603">
        <w:rPr>
          <w:rFonts w:ascii="Arial" w:hAnsi="Arial" w:cs="Arial"/>
          <w:sz w:val="24"/>
          <w:szCs w:val="24"/>
        </w:rPr>
        <w:t>ntre los microorganismos originarios del cadáver, o del terreno circundante,</w:t>
      </w:r>
      <w:r w:rsidR="00AA4FFC">
        <w:rPr>
          <w:rFonts w:ascii="Arial" w:hAnsi="Arial" w:cs="Arial"/>
          <w:sz w:val="24"/>
          <w:szCs w:val="24"/>
        </w:rPr>
        <w:t xml:space="preserve">son </w:t>
      </w:r>
      <w:r w:rsidR="00465603" w:rsidRPr="00465603">
        <w:rPr>
          <w:rFonts w:ascii="Arial" w:hAnsi="Arial" w:cs="Arial"/>
          <w:sz w:val="24"/>
          <w:szCs w:val="24"/>
        </w:rPr>
        <w:t xml:space="preserve">capaces de causar enfermedades transmitidas por las aguas, </w:t>
      </w:r>
      <w:r w:rsidR="00AA4FFC">
        <w:rPr>
          <w:rFonts w:ascii="Arial" w:hAnsi="Arial" w:cs="Arial"/>
          <w:sz w:val="24"/>
          <w:szCs w:val="24"/>
        </w:rPr>
        <w:t>los siguientes</w:t>
      </w:r>
      <w:r w:rsidR="00465603" w:rsidRPr="00465603">
        <w:rPr>
          <w:rFonts w:ascii="Arial" w:hAnsi="Arial" w:cs="Arial"/>
          <w:sz w:val="24"/>
          <w:szCs w:val="24"/>
        </w:rPr>
        <w:t>:Clostridium (tétano, gangrena gaseosa), Mycobacterium (tuberculosis),Salmonella Typha y Paratyphi (fiebre tifoidea y paratifoidea), Shigella (</w:t>
      </w:r>
      <w:r w:rsidR="0058514E" w:rsidRPr="00465603">
        <w:rPr>
          <w:rFonts w:ascii="Arial" w:hAnsi="Arial" w:cs="Arial"/>
          <w:sz w:val="24"/>
          <w:szCs w:val="24"/>
        </w:rPr>
        <w:t>disentería</w:t>
      </w:r>
      <w:r w:rsidR="00465603" w:rsidRPr="00465603">
        <w:rPr>
          <w:rFonts w:ascii="Arial" w:hAnsi="Arial" w:cs="Arial"/>
          <w:sz w:val="24"/>
          <w:szCs w:val="24"/>
        </w:rPr>
        <w:t>bacilar) y el virus de hepatitis</w:t>
      </w:r>
      <w:r w:rsidR="00AA4FFC">
        <w:rPr>
          <w:rFonts w:ascii="Arial" w:hAnsi="Arial" w:cs="Arial"/>
          <w:sz w:val="24"/>
          <w:szCs w:val="24"/>
        </w:rPr>
        <w:t>; y en el</w:t>
      </w:r>
      <w:r w:rsidR="002A2512" w:rsidRPr="002A2512">
        <w:rPr>
          <w:rFonts w:ascii="Arial" w:hAnsi="Arial" w:cs="Arial"/>
          <w:sz w:val="24"/>
          <w:szCs w:val="24"/>
        </w:rPr>
        <w:t xml:space="preserve"> caso de muerte por enfermedades contagiosas o epidemia, estánpresentes los agentes de infección</w:t>
      </w:r>
      <w:r w:rsidR="005F20AE">
        <w:rPr>
          <w:rFonts w:ascii="Arial" w:hAnsi="Arial" w:cs="Arial"/>
          <w:sz w:val="24"/>
          <w:szCs w:val="24"/>
        </w:rPr>
        <w:t>.</w:t>
      </w:r>
    </w:p>
    <w:p w:rsidR="001F22ED" w:rsidRDefault="001F22ED" w:rsidP="0098521D">
      <w:pPr>
        <w:jc w:val="both"/>
        <w:rPr>
          <w:rFonts w:ascii="Arial" w:hAnsi="Arial" w:cs="Arial"/>
          <w:b/>
          <w:sz w:val="24"/>
        </w:rPr>
      </w:pPr>
    </w:p>
    <w:p w:rsidR="00DD6B5B" w:rsidRPr="00316DE5" w:rsidRDefault="00316DE5" w:rsidP="0098521D">
      <w:pPr>
        <w:jc w:val="both"/>
        <w:rPr>
          <w:rFonts w:ascii="Arial" w:hAnsi="Arial" w:cs="Arial"/>
          <w:b/>
          <w:sz w:val="24"/>
        </w:rPr>
      </w:pPr>
      <w:r w:rsidRPr="00316DE5">
        <w:rPr>
          <w:rFonts w:ascii="Arial" w:hAnsi="Arial" w:cs="Arial"/>
          <w:b/>
          <w:sz w:val="24"/>
        </w:rPr>
        <w:t>ESTADÍSTICAS</w:t>
      </w:r>
      <w:r w:rsidR="00DD6B5B" w:rsidRPr="00316DE5">
        <w:rPr>
          <w:rFonts w:ascii="Arial" w:hAnsi="Arial" w:cs="Arial"/>
          <w:b/>
          <w:sz w:val="24"/>
        </w:rPr>
        <w:t>:</w:t>
      </w:r>
    </w:p>
    <w:p w:rsidR="00ED2BC1" w:rsidRPr="001F22ED" w:rsidRDefault="001069B8" w:rsidP="001F22ED">
      <w:pPr>
        <w:pStyle w:val="Prrafodelista"/>
        <w:numPr>
          <w:ilvl w:val="0"/>
          <w:numId w:val="16"/>
        </w:numPr>
        <w:ind w:left="284" w:hanging="284"/>
        <w:jc w:val="both"/>
        <w:rPr>
          <w:rFonts w:ascii="Arial" w:hAnsi="Arial" w:cs="Arial"/>
          <w:sz w:val="24"/>
        </w:rPr>
      </w:pPr>
      <w:r w:rsidRPr="001F22ED">
        <w:rPr>
          <w:rFonts w:ascii="Arial" w:hAnsi="Arial" w:cs="Arial"/>
          <w:sz w:val="24"/>
        </w:rPr>
        <w:t xml:space="preserve">La escasez del agua dulce a nivel mundial es un problema de dramática prioridad, ya que representa un porcentaje limitadísimo (3%), en relación con el total de agua en el planeta (97%). Adicionalmente, solo un 1 por ciento es </w:t>
      </w:r>
      <w:r w:rsidRPr="001F22ED">
        <w:rPr>
          <w:rFonts w:ascii="Arial" w:hAnsi="Arial" w:cs="Arial"/>
          <w:sz w:val="24"/>
        </w:rPr>
        <w:lastRenderedPageBreak/>
        <w:t xml:space="preserve">accesible, dado que el resto del agua se encuentra congelada en los glaciares o a grandes profundidades, como es el caso de los acuíferos. </w:t>
      </w:r>
      <w:r w:rsidR="00ED2BC1" w:rsidRPr="001F22ED">
        <w:rPr>
          <w:rFonts w:ascii="Arial" w:hAnsi="Arial" w:cs="Arial"/>
          <w:sz w:val="24"/>
        </w:rPr>
        <w:t xml:space="preserve">Del agua dulce que hay en la tierra, más de 100.000 km3 se almacenan en el suelo, sobre todo en los primeros mil metros de profundidad. </w:t>
      </w:r>
    </w:p>
    <w:p w:rsidR="00DD6B5B" w:rsidRPr="001F22ED" w:rsidRDefault="00DD6B5B" w:rsidP="001F22ED">
      <w:pPr>
        <w:pStyle w:val="Prrafodelista"/>
        <w:numPr>
          <w:ilvl w:val="0"/>
          <w:numId w:val="16"/>
        </w:numPr>
        <w:ind w:left="284" w:hanging="284"/>
        <w:jc w:val="both"/>
        <w:rPr>
          <w:rFonts w:ascii="Arial" w:hAnsi="Arial" w:cs="Arial"/>
          <w:sz w:val="24"/>
        </w:rPr>
      </w:pPr>
      <w:r w:rsidRPr="001F22ED">
        <w:rPr>
          <w:rFonts w:ascii="Arial" w:hAnsi="Arial" w:cs="Arial"/>
          <w:sz w:val="24"/>
        </w:rPr>
        <w:t>Según la Organización de las Naciones Unidas (ONU), en la actualidad, de los 6.250 millones de habitantes, 1.100 millones no tienen acceso al agua potable y 2.400 millones carecen de un saneamiento adecuado</w:t>
      </w:r>
      <w:r w:rsidR="001069B8" w:rsidRPr="001F22ED">
        <w:rPr>
          <w:rFonts w:ascii="Arial" w:hAnsi="Arial" w:cs="Arial"/>
          <w:sz w:val="24"/>
        </w:rPr>
        <w:t xml:space="preserve">; es decir, </w:t>
      </w:r>
      <w:r w:rsidR="001069B8" w:rsidRPr="001F22ED">
        <w:rPr>
          <w:rFonts w:ascii="Arial" w:hAnsi="Arial" w:cs="Arial"/>
          <w:sz w:val="24"/>
          <w:u w:val="single"/>
        </w:rPr>
        <w:t xml:space="preserve">el </w:t>
      </w:r>
      <w:r w:rsidRPr="001F22ED">
        <w:rPr>
          <w:rFonts w:ascii="Arial" w:hAnsi="Arial" w:cs="Arial"/>
          <w:sz w:val="24"/>
          <w:u w:val="single"/>
        </w:rPr>
        <w:t>40</w:t>
      </w:r>
      <w:r w:rsidR="001069B8" w:rsidRPr="001F22ED">
        <w:rPr>
          <w:rFonts w:ascii="Arial" w:hAnsi="Arial" w:cs="Arial"/>
          <w:sz w:val="24"/>
          <w:u w:val="single"/>
        </w:rPr>
        <w:t>%</w:t>
      </w:r>
      <w:r w:rsidRPr="001F22ED">
        <w:rPr>
          <w:rFonts w:ascii="Arial" w:hAnsi="Arial" w:cs="Arial"/>
          <w:sz w:val="24"/>
          <w:u w:val="single"/>
        </w:rPr>
        <w:t xml:space="preserve"> de la población mundial</w:t>
      </w:r>
      <w:r w:rsidRPr="001F22ED">
        <w:rPr>
          <w:rFonts w:ascii="Arial" w:hAnsi="Arial" w:cs="Arial"/>
          <w:sz w:val="24"/>
        </w:rPr>
        <w:t xml:space="preserve">. </w:t>
      </w:r>
      <w:r w:rsidR="001069B8" w:rsidRPr="001F22ED">
        <w:rPr>
          <w:rFonts w:ascii="Arial" w:hAnsi="Arial" w:cs="Arial"/>
          <w:sz w:val="24"/>
        </w:rPr>
        <w:t>De acuerdo con el informe, cerca de</w:t>
      </w:r>
      <w:r w:rsidRPr="001F22ED">
        <w:rPr>
          <w:rFonts w:ascii="Arial" w:hAnsi="Arial" w:cs="Arial"/>
          <w:sz w:val="24"/>
          <w:u w:val="single"/>
        </w:rPr>
        <w:t>cinco millones de personas —la mayoría, niños— mueren cada año por beber agua contaminada</w:t>
      </w:r>
      <w:r w:rsidRPr="001F22ED">
        <w:rPr>
          <w:rFonts w:ascii="Arial" w:hAnsi="Arial" w:cs="Arial"/>
          <w:sz w:val="24"/>
        </w:rPr>
        <w:t xml:space="preserve">. </w:t>
      </w:r>
      <w:r w:rsidR="001069B8" w:rsidRPr="001F22ED">
        <w:rPr>
          <w:rFonts w:ascii="Arial" w:hAnsi="Arial" w:cs="Arial"/>
          <w:sz w:val="24"/>
        </w:rPr>
        <w:t>Así mismo, e</w:t>
      </w:r>
      <w:r w:rsidRPr="001F22ED">
        <w:rPr>
          <w:rFonts w:ascii="Arial" w:hAnsi="Arial" w:cs="Arial"/>
          <w:sz w:val="24"/>
        </w:rPr>
        <w:t>l mismo informe advierte que, de no revertirse est</w:t>
      </w:r>
      <w:r w:rsidR="001069B8" w:rsidRPr="001F22ED">
        <w:rPr>
          <w:rFonts w:ascii="Arial" w:hAnsi="Arial" w:cs="Arial"/>
          <w:sz w:val="24"/>
        </w:rPr>
        <w:t>atendencia</w:t>
      </w:r>
      <w:r w:rsidRPr="001F22ED">
        <w:rPr>
          <w:rFonts w:ascii="Arial" w:hAnsi="Arial" w:cs="Arial"/>
          <w:sz w:val="24"/>
        </w:rPr>
        <w:t xml:space="preserve">, en el año 2025, las muertes y las enfermedades ocasionadas por la escasez y </w:t>
      </w:r>
      <w:r w:rsidRPr="001F22ED">
        <w:rPr>
          <w:rFonts w:ascii="Arial" w:hAnsi="Arial" w:cs="Arial"/>
          <w:sz w:val="24"/>
          <w:u w:val="single"/>
        </w:rPr>
        <w:t>la contaminación del agua</w:t>
      </w:r>
      <w:r w:rsidRPr="001F22ED">
        <w:rPr>
          <w:rFonts w:ascii="Arial" w:hAnsi="Arial" w:cs="Arial"/>
          <w:sz w:val="24"/>
        </w:rPr>
        <w:t xml:space="preserve"> podrían adquirir dimensiones trágicas</w:t>
      </w:r>
      <w:r w:rsidR="002C4467" w:rsidRPr="001069B8">
        <w:rPr>
          <w:rStyle w:val="Refdenotaalpie"/>
          <w:rFonts w:ascii="Arial" w:hAnsi="Arial" w:cs="Arial"/>
          <w:sz w:val="24"/>
        </w:rPr>
        <w:footnoteReference w:id="13"/>
      </w:r>
      <w:r w:rsidRPr="001F22ED">
        <w:rPr>
          <w:rFonts w:ascii="Arial" w:hAnsi="Arial" w:cs="Arial"/>
          <w:sz w:val="24"/>
        </w:rPr>
        <w:t xml:space="preserve">. </w:t>
      </w:r>
    </w:p>
    <w:p w:rsidR="00AD0286" w:rsidRPr="001F22ED" w:rsidRDefault="00AD0286" w:rsidP="001F22ED">
      <w:pPr>
        <w:pStyle w:val="Prrafodelista"/>
        <w:numPr>
          <w:ilvl w:val="0"/>
          <w:numId w:val="16"/>
        </w:numPr>
        <w:ind w:left="284" w:hanging="284"/>
        <w:jc w:val="both"/>
        <w:rPr>
          <w:rFonts w:ascii="Arial" w:hAnsi="Arial" w:cs="Arial"/>
        </w:rPr>
      </w:pPr>
      <w:r w:rsidRPr="001F22ED">
        <w:rPr>
          <w:rFonts w:ascii="Arial" w:hAnsi="Arial" w:cs="Arial"/>
          <w:sz w:val="24"/>
        </w:rPr>
        <w:t xml:space="preserve">De acuerdo con Informe de la Defensoría del Pueblo (2009) “Clasificación Municipal de la Provisión de Agua en Colombia” </w:t>
      </w:r>
      <w:r w:rsidRPr="001F22ED">
        <w:rPr>
          <w:rFonts w:ascii="Arial" w:hAnsi="Arial" w:cs="Arial"/>
          <w:b/>
          <w:sz w:val="24"/>
        </w:rPr>
        <w:t>más de 14 millones de personas viven en zonas con escasez latente, con posibilidades de aumento en los próximos años</w:t>
      </w:r>
      <w:r w:rsidRPr="001F22ED">
        <w:rPr>
          <w:rFonts w:ascii="Arial" w:hAnsi="Arial" w:cs="Arial"/>
          <w:sz w:val="24"/>
        </w:rPr>
        <w:t>. El 61% de la población se ubica en zonas con escasez mínima o no significativa</w:t>
      </w:r>
      <w:r>
        <w:rPr>
          <w:rStyle w:val="Refdenotaalpie"/>
          <w:rFonts w:ascii="Arial" w:hAnsi="Arial" w:cs="Arial"/>
        </w:rPr>
        <w:footnoteReference w:id="14"/>
      </w:r>
      <w:r w:rsidRPr="001F22ED">
        <w:rPr>
          <w:rFonts w:ascii="Arial" w:hAnsi="Arial" w:cs="Arial"/>
        </w:rPr>
        <w:t>.</w:t>
      </w:r>
    </w:p>
    <w:p w:rsidR="008B7120" w:rsidRPr="00694331" w:rsidRDefault="008B7120" w:rsidP="00694331">
      <w:pPr>
        <w:pStyle w:val="Prrafodelista"/>
        <w:numPr>
          <w:ilvl w:val="0"/>
          <w:numId w:val="12"/>
        </w:numPr>
        <w:ind w:left="284" w:hanging="284"/>
        <w:jc w:val="both"/>
        <w:rPr>
          <w:rFonts w:ascii="Arial" w:hAnsi="Arial" w:cs="Arial"/>
          <w:sz w:val="24"/>
        </w:rPr>
      </w:pPr>
      <w:r w:rsidRPr="00694331">
        <w:rPr>
          <w:rFonts w:ascii="Arial" w:hAnsi="Arial" w:cs="Arial"/>
          <w:sz w:val="24"/>
        </w:rPr>
        <w:t>De acuerdo conUnicef más de tres mil infantes mueren diariamente en el mundo a causa de enfermedades diarreicas. Según la OMS, el 10% de las enfermedades tiene relación con la mala calidad del agua y los servicios sanitarios.</w:t>
      </w:r>
    </w:p>
    <w:p w:rsidR="00027CD2" w:rsidRPr="00694331" w:rsidRDefault="00027CD2" w:rsidP="00694331">
      <w:pPr>
        <w:pStyle w:val="Prrafodelista"/>
        <w:numPr>
          <w:ilvl w:val="0"/>
          <w:numId w:val="12"/>
        </w:numPr>
        <w:ind w:left="284" w:hanging="284"/>
        <w:jc w:val="both"/>
        <w:rPr>
          <w:rFonts w:ascii="Arial" w:hAnsi="Arial" w:cs="Arial"/>
          <w:sz w:val="24"/>
        </w:rPr>
      </w:pPr>
      <w:r w:rsidRPr="00694331">
        <w:rPr>
          <w:rFonts w:ascii="Arial" w:hAnsi="Arial" w:cs="Arial"/>
          <w:sz w:val="24"/>
        </w:rPr>
        <w:t>Por falta de higiene y saneamiento, América Latina pierde cada año entre 2 y 7% de su Producto Interno Bruto (PIB), calcula el BM</w:t>
      </w:r>
      <w:r w:rsidR="00E86F43">
        <w:rPr>
          <w:rStyle w:val="Refdenotaalpie"/>
          <w:rFonts w:ascii="Arial" w:hAnsi="Arial" w:cs="Arial"/>
          <w:sz w:val="24"/>
        </w:rPr>
        <w:footnoteReference w:id="15"/>
      </w:r>
      <w:r w:rsidRPr="00694331">
        <w:rPr>
          <w:rFonts w:ascii="Arial" w:hAnsi="Arial" w:cs="Arial"/>
          <w:sz w:val="24"/>
        </w:rPr>
        <w:t>.</w:t>
      </w:r>
    </w:p>
    <w:p w:rsidR="00483803" w:rsidRPr="00694331" w:rsidRDefault="00483803" w:rsidP="00694331">
      <w:pPr>
        <w:pStyle w:val="Prrafodelista"/>
        <w:numPr>
          <w:ilvl w:val="0"/>
          <w:numId w:val="12"/>
        </w:numPr>
        <w:ind w:left="284" w:hanging="284"/>
        <w:jc w:val="both"/>
        <w:rPr>
          <w:rFonts w:ascii="Arial" w:hAnsi="Arial" w:cs="Arial"/>
          <w:sz w:val="24"/>
        </w:rPr>
      </w:pPr>
      <w:r w:rsidRPr="00694331">
        <w:rPr>
          <w:rFonts w:ascii="Arial" w:hAnsi="Arial" w:cs="Arial"/>
          <w:sz w:val="24"/>
        </w:rPr>
        <w:t xml:space="preserve">El mosquito anófeles, transmisor de la enfermedad infecciosa de la </w:t>
      </w:r>
      <w:r w:rsidRPr="00694331">
        <w:rPr>
          <w:rFonts w:ascii="Arial" w:hAnsi="Arial" w:cs="Arial"/>
          <w:b/>
          <w:i/>
          <w:sz w:val="24"/>
        </w:rPr>
        <w:t>malaria</w:t>
      </w:r>
      <w:r w:rsidRPr="00694331">
        <w:rPr>
          <w:rFonts w:ascii="Arial" w:hAnsi="Arial" w:cs="Arial"/>
          <w:sz w:val="24"/>
        </w:rPr>
        <w:t xml:space="preserve"> tiene como principales focos para su germinación las aguas estancadas, empozadas, y altamente expuestas a factores contaminantes. En Colombia, esta enfermedad es considerada como un problema de salud pública, por lo que es objeto de seguimiento por parte del Instituto Nacional de Salud (INS)</w:t>
      </w:r>
      <w:r w:rsidR="00A54B7D" w:rsidRPr="00694331">
        <w:rPr>
          <w:rFonts w:ascii="Arial" w:hAnsi="Arial" w:cs="Arial"/>
          <w:sz w:val="24"/>
        </w:rPr>
        <w:t>. En el boletín Comité Estratégico en Salud, de marzo de 2012, presenta el siguiente reporte de la enfermedad en el país:</w:t>
      </w:r>
    </w:p>
    <w:p w:rsidR="003B7D76" w:rsidRDefault="003B7D76" w:rsidP="0020609B">
      <w:pPr>
        <w:spacing w:after="0"/>
        <w:jc w:val="center"/>
        <w:rPr>
          <w:rFonts w:ascii="Arial" w:hAnsi="Arial" w:cs="Arial"/>
          <w:b/>
          <w:sz w:val="24"/>
        </w:rPr>
      </w:pPr>
    </w:p>
    <w:p w:rsidR="0020609B" w:rsidRPr="0020609B" w:rsidRDefault="0020609B" w:rsidP="0020609B">
      <w:pPr>
        <w:spacing w:after="0"/>
        <w:jc w:val="center"/>
        <w:rPr>
          <w:rFonts w:ascii="Arial" w:hAnsi="Arial" w:cs="Arial"/>
          <w:b/>
          <w:sz w:val="24"/>
        </w:rPr>
      </w:pPr>
      <w:r>
        <w:rPr>
          <w:rFonts w:ascii="Arial" w:hAnsi="Arial" w:cs="Arial"/>
          <w:b/>
          <w:sz w:val="24"/>
        </w:rPr>
        <w:t>MUERTES POR MALARIA</w:t>
      </w:r>
    </w:p>
    <w:p w:rsidR="0020609B" w:rsidRDefault="0020609B" w:rsidP="0020609B">
      <w:pPr>
        <w:spacing w:after="0"/>
        <w:jc w:val="center"/>
        <w:rPr>
          <w:rFonts w:ascii="Arial" w:hAnsi="Arial" w:cs="Arial"/>
          <w:sz w:val="24"/>
        </w:rPr>
      </w:pPr>
      <w:r w:rsidRPr="0020609B">
        <w:rPr>
          <w:rFonts w:ascii="Arial" w:hAnsi="Arial" w:cs="Arial"/>
          <w:b/>
          <w:sz w:val="24"/>
        </w:rPr>
        <w:lastRenderedPageBreak/>
        <w:t>Colombia, semana epidemiológica 8 de 2012</w:t>
      </w:r>
    </w:p>
    <w:tbl>
      <w:tblPr>
        <w:tblW w:w="7245" w:type="dxa"/>
        <w:jc w:val="center"/>
        <w:tblInd w:w="55" w:type="dxa"/>
        <w:tblCellMar>
          <w:left w:w="70" w:type="dxa"/>
          <w:right w:w="70" w:type="dxa"/>
        </w:tblCellMar>
        <w:tblLook w:val="04A0"/>
      </w:tblPr>
      <w:tblGrid>
        <w:gridCol w:w="1433"/>
        <w:gridCol w:w="1843"/>
        <w:gridCol w:w="1417"/>
        <w:gridCol w:w="1701"/>
        <w:gridCol w:w="851"/>
      </w:tblGrid>
      <w:tr w:rsidR="0020609B" w:rsidRPr="0020609B" w:rsidTr="0020609B">
        <w:trPr>
          <w:trHeight w:val="900"/>
          <w:jc w:val="center"/>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09B" w:rsidRPr="0020609B" w:rsidRDefault="0020609B" w:rsidP="0020609B">
            <w:pPr>
              <w:spacing w:after="0" w:line="240" w:lineRule="auto"/>
              <w:jc w:val="center"/>
              <w:rPr>
                <w:rFonts w:ascii="Calibri" w:eastAsia="Times New Roman" w:hAnsi="Calibri" w:cs="Calibri"/>
                <w:b/>
                <w:bCs/>
                <w:color w:val="000000"/>
                <w:lang w:eastAsia="es-ES"/>
              </w:rPr>
            </w:pPr>
            <w:r w:rsidRPr="0020609B">
              <w:rPr>
                <w:rFonts w:ascii="Calibri" w:eastAsia="Times New Roman" w:hAnsi="Calibri" w:cs="Calibri"/>
                <w:b/>
                <w:bCs/>
                <w:color w:val="000000"/>
                <w:lang w:eastAsia="es-ES"/>
              </w:rPr>
              <w:t>Entidad territorial de procedencia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0609B" w:rsidRPr="0020609B" w:rsidRDefault="0020609B" w:rsidP="0020609B">
            <w:pPr>
              <w:spacing w:after="0" w:line="240" w:lineRule="auto"/>
              <w:jc w:val="center"/>
              <w:rPr>
                <w:rFonts w:ascii="Calibri" w:eastAsia="Times New Roman" w:hAnsi="Calibri" w:cs="Calibri"/>
                <w:b/>
                <w:bCs/>
                <w:color w:val="000000"/>
                <w:lang w:eastAsia="es-ES"/>
              </w:rPr>
            </w:pPr>
            <w:r w:rsidRPr="0020609B">
              <w:rPr>
                <w:rFonts w:ascii="Calibri" w:eastAsia="Times New Roman" w:hAnsi="Calibri" w:cs="Calibri"/>
                <w:b/>
                <w:bCs/>
                <w:color w:val="000000"/>
                <w:lang w:eastAsia="es-ES"/>
              </w:rPr>
              <w:t>Entidad municipal de procedencia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0609B" w:rsidRPr="0020609B" w:rsidRDefault="0020609B" w:rsidP="0020609B">
            <w:pPr>
              <w:spacing w:after="0" w:line="240" w:lineRule="auto"/>
              <w:jc w:val="center"/>
              <w:rPr>
                <w:rFonts w:ascii="Calibri" w:eastAsia="Times New Roman" w:hAnsi="Calibri" w:cs="Calibri"/>
                <w:b/>
                <w:bCs/>
                <w:color w:val="000000"/>
                <w:lang w:eastAsia="es-ES"/>
              </w:rPr>
            </w:pPr>
            <w:r w:rsidRPr="0020609B">
              <w:rPr>
                <w:rFonts w:ascii="Calibri" w:eastAsia="Times New Roman" w:hAnsi="Calibri" w:cs="Calibri"/>
                <w:b/>
                <w:bCs/>
                <w:color w:val="000000"/>
                <w:lang w:eastAsia="es-ES"/>
              </w:rPr>
              <w:t>Entidad territorial de notificación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0609B" w:rsidRPr="0020609B" w:rsidRDefault="0020609B" w:rsidP="0020609B">
            <w:pPr>
              <w:spacing w:after="0" w:line="240" w:lineRule="auto"/>
              <w:jc w:val="center"/>
              <w:rPr>
                <w:rFonts w:ascii="Calibri" w:eastAsia="Times New Roman" w:hAnsi="Calibri" w:cs="Calibri"/>
                <w:b/>
                <w:bCs/>
                <w:color w:val="000000"/>
                <w:lang w:eastAsia="es-ES"/>
              </w:rPr>
            </w:pPr>
            <w:r w:rsidRPr="0020609B">
              <w:rPr>
                <w:rFonts w:ascii="Calibri" w:eastAsia="Times New Roman" w:hAnsi="Calibri" w:cs="Calibri"/>
                <w:b/>
                <w:bCs/>
                <w:color w:val="000000"/>
                <w:lang w:eastAsia="es-ES"/>
              </w:rPr>
              <w:t>Entidad municipal de notificación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0609B" w:rsidRPr="0020609B" w:rsidRDefault="0020609B" w:rsidP="0020609B">
            <w:pPr>
              <w:spacing w:after="0" w:line="240" w:lineRule="auto"/>
              <w:jc w:val="center"/>
              <w:rPr>
                <w:rFonts w:ascii="Calibri" w:eastAsia="Times New Roman" w:hAnsi="Calibri" w:cs="Calibri"/>
                <w:b/>
                <w:bCs/>
                <w:color w:val="000000"/>
                <w:lang w:eastAsia="es-ES"/>
              </w:rPr>
            </w:pPr>
            <w:r w:rsidRPr="0020609B">
              <w:rPr>
                <w:rFonts w:ascii="Calibri" w:eastAsia="Times New Roman" w:hAnsi="Calibri" w:cs="Calibri"/>
                <w:b/>
                <w:bCs/>
                <w:color w:val="000000"/>
                <w:lang w:eastAsia="es-ES"/>
              </w:rPr>
              <w:t>Total</w:t>
            </w:r>
          </w:p>
        </w:tc>
      </w:tr>
      <w:tr w:rsidR="0020609B" w:rsidRPr="0020609B" w:rsidTr="0020609B">
        <w:trPr>
          <w:trHeight w:val="300"/>
          <w:jc w:val="center"/>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La Guajira</w:t>
            </w:r>
          </w:p>
        </w:tc>
        <w:tc>
          <w:tcPr>
            <w:tcW w:w="1843"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La Guajira</w:t>
            </w:r>
          </w:p>
        </w:tc>
        <w:tc>
          <w:tcPr>
            <w:tcW w:w="1417"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Chocó</w:t>
            </w:r>
          </w:p>
        </w:tc>
        <w:tc>
          <w:tcPr>
            <w:tcW w:w="170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Bogotá *</w:t>
            </w:r>
          </w:p>
        </w:tc>
        <w:tc>
          <w:tcPr>
            <w:tcW w:w="85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jc w:val="center"/>
              <w:rPr>
                <w:rFonts w:ascii="Calibri" w:eastAsia="Times New Roman" w:hAnsi="Calibri" w:cs="Calibri"/>
                <w:color w:val="000000"/>
                <w:lang w:eastAsia="es-ES"/>
              </w:rPr>
            </w:pPr>
            <w:r w:rsidRPr="0020609B">
              <w:rPr>
                <w:rFonts w:ascii="Calibri" w:eastAsia="Times New Roman" w:hAnsi="Calibri" w:cs="Calibri"/>
                <w:color w:val="000000"/>
                <w:lang w:eastAsia="es-ES"/>
              </w:rPr>
              <w:t>3</w:t>
            </w:r>
          </w:p>
        </w:tc>
      </w:tr>
      <w:tr w:rsidR="0020609B" w:rsidRPr="0020609B" w:rsidTr="0020609B">
        <w:trPr>
          <w:trHeight w:val="300"/>
          <w:jc w:val="center"/>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Riohacha</w:t>
            </w:r>
          </w:p>
        </w:tc>
        <w:tc>
          <w:tcPr>
            <w:tcW w:w="1843"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Manaure</w:t>
            </w:r>
          </w:p>
        </w:tc>
        <w:tc>
          <w:tcPr>
            <w:tcW w:w="1417"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Quibdó</w:t>
            </w:r>
          </w:p>
        </w:tc>
        <w:tc>
          <w:tcPr>
            <w:tcW w:w="170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Bogotá</w:t>
            </w:r>
          </w:p>
        </w:tc>
        <w:tc>
          <w:tcPr>
            <w:tcW w:w="85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jc w:val="center"/>
              <w:rPr>
                <w:rFonts w:ascii="Calibri" w:eastAsia="Times New Roman" w:hAnsi="Calibri" w:cs="Calibri"/>
                <w:color w:val="000000"/>
                <w:lang w:eastAsia="es-ES"/>
              </w:rPr>
            </w:pPr>
            <w:r w:rsidRPr="0020609B">
              <w:rPr>
                <w:rFonts w:ascii="Calibri" w:eastAsia="Times New Roman" w:hAnsi="Calibri" w:cs="Calibri"/>
                <w:color w:val="000000"/>
                <w:lang w:eastAsia="es-ES"/>
              </w:rPr>
              <w:t>1</w:t>
            </w:r>
          </w:p>
        </w:tc>
      </w:tr>
      <w:tr w:rsidR="0020609B" w:rsidRPr="0020609B" w:rsidTr="0020609B">
        <w:trPr>
          <w:trHeight w:val="300"/>
          <w:jc w:val="center"/>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La Guajira</w:t>
            </w:r>
          </w:p>
        </w:tc>
        <w:tc>
          <w:tcPr>
            <w:tcW w:w="1843"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La Guajira</w:t>
            </w:r>
          </w:p>
        </w:tc>
        <w:tc>
          <w:tcPr>
            <w:tcW w:w="1417"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Antioquia</w:t>
            </w:r>
          </w:p>
        </w:tc>
        <w:tc>
          <w:tcPr>
            <w:tcW w:w="170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Bogotá</w:t>
            </w:r>
          </w:p>
        </w:tc>
        <w:tc>
          <w:tcPr>
            <w:tcW w:w="85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jc w:val="center"/>
              <w:rPr>
                <w:rFonts w:ascii="Calibri" w:eastAsia="Times New Roman" w:hAnsi="Calibri" w:cs="Calibri"/>
                <w:color w:val="000000"/>
                <w:lang w:eastAsia="es-ES"/>
              </w:rPr>
            </w:pPr>
            <w:r w:rsidRPr="0020609B">
              <w:rPr>
                <w:rFonts w:ascii="Calibri" w:eastAsia="Times New Roman" w:hAnsi="Calibri" w:cs="Calibri"/>
                <w:color w:val="000000"/>
                <w:lang w:eastAsia="es-ES"/>
              </w:rPr>
              <w:t>1</w:t>
            </w:r>
          </w:p>
        </w:tc>
      </w:tr>
      <w:tr w:rsidR="0020609B" w:rsidRPr="0020609B" w:rsidTr="0020609B">
        <w:trPr>
          <w:trHeight w:val="600"/>
          <w:jc w:val="center"/>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Riohacha</w:t>
            </w:r>
          </w:p>
        </w:tc>
        <w:tc>
          <w:tcPr>
            <w:tcW w:w="1843"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Riohacha</w:t>
            </w:r>
          </w:p>
        </w:tc>
        <w:tc>
          <w:tcPr>
            <w:tcW w:w="1417"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Medellín</w:t>
            </w:r>
          </w:p>
        </w:tc>
        <w:tc>
          <w:tcPr>
            <w:tcW w:w="170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Bogotá (Hospital Militar Central)</w:t>
            </w:r>
          </w:p>
        </w:tc>
        <w:tc>
          <w:tcPr>
            <w:tcW w:w="85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jc w:val="center"/>
              <w:rPr>
                <w:rFonts w:ascii="Calibri" w:eastAsia="Times New Roman" w:hAnsi="Calibri" w:cs="Calibri"/>
                <w:color w:val="000000"/>
                <w:lang w:eastAsia="es-ES"/>
              </w:rPr>
            </w:pPr>
            <w:r w:rsidRPr="0020609B">
              <w:rPr>
                <w:rFonts w:ascii="Calibri" w:eastAsia="Times New Roman" w:hAnsi="Calibri" w:cs="Calibri"/>
                <w:color w:val="000000"/>
                <w:lang w:eastAsia="es-ES"/>
              </w:rPr>
              <w:t>1</w:t>
            </w:r>
          </w:p>
        </w:tc>
      </w:tr>
      <w:tr w:rsidR="0020609B" w:rsidRPr="0020609B" w:rsidTr="0020609B">
        <w:trPr>
          <w:trHeight w:val="300"/>
          <w:jc w:val="center"/>
        </w:trPr>
        <w:tc>
          <w:tcPr>
            <w:tcW w:w="1433" w:type="dxa"/>
            <w:tcBorders>
              <w:top w:val="nil"/>
              <w:left w:val="single" w:sz="4" w:space="0" w:color="auto"/>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Total</w:t>
            </w:r>
          </w:p>
        </w:tc>
        <w:tc>
          <w:tcPr>
            <w:tcW w:w="1843"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 </w:t>
            </w:r>
          </w:p>
        </w:tc>
        <w:tc>
          <w:tcPr>
            <w:tcW w:w="1417"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 </w:t>
            </w:r>
          </w:p>
        </w:tc>
        <w:tc>
          <w:tcPr>
            <w:tcW w:w="170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rPr>
                <w:rFonts w:ascii="Calibri" w:eastAsia="Times New Roman" w:hAnsi="Calibri" w:cs="Calibri"/>
                <w:color w:val="000000"/>
                <w:lang w:eastAsia="es-ES"/>
              </w:rPr>
            </w:pPr>
            <w:r w:rsidRPr="0020609B">
              <w:rPr>
                <w:rFonts w:ascii="Calibri" w:eastAsia="Times New Roman" w:hAnsi="Calibri" w:cs="Calibri"/>
                <w:color w:val="000000"/>
                <w:lang w:eastAsia="es-ES"/>
              </w:rPr>
              <w:t> </w:t>
            </w:r>
          </w:p>
        </w:tc>
        <w:tc>
          <w:tcPr>
            <w:tcW w:w="851" w:type="dxa"/>
            <w:tcBorders>
              <w:top w:val="nil"/>
              <w:left w:val="nil"/>
              <w:bottom w:val="single" w:sz="4" w:space="0" w:color="auto"/>
              <w:right w:val="single" w:sz="4" w:space="0" w:color="auto"/>
            </w:tcBorders>
            <w:shd w:val="clear" w:color="auto" w:fill="auto"/>
            <w:vAlign w:val="bottom"/>
            <w:hideMark/>
          </w:tcPr>
          <w:p w:rsidR="0020609B" w:rsidRPr="0020609B" w:rsidRDefault="0020609B" w:rsidP="0020609B">
            <w:pPr>
              <w:spacing w:after="0" w:line="240" w:lineRule="auto"/>
              <w:jc w:val="center"/>
              <w:rPr>
                <w:rFonts w:ascii="Calibri" w:eastAsia="Times New Roman" w:hAnsi="Calibri" w:cs="Calibri"/>
                <w:color w:val="000000"/>
                <w:lang w:eastAsia="es-ES"/>
              </w:rPr>
            </w:pPr>
            <w:r w:rsidRPr="0020609B">
              <w:rPr>
                <w:rFonts w:ascii="Calibri" w:eastAsia="Times New Roman" w:hAnsi="Calibri" w:cs="Calibri"/>
                <w:color w:val="000000"/>
                <w:lang w:eastAsia="es-ES"/>
              </w:rPr>
              <w:t>6</w:t>
            </w:r>
          </w:p>
        </w:tc>
      </w:tr>
      <w:tr w:rsidR="0020609B" w:rsidRPr="0020609B" w:rsidTr="0020609B">
        <w:trPr>
          <w:trHeight w:val="300"/>
          <w:jc w:val="center"/>
        </w:trPr>
        <w:tc>
          <w:tcPr>
            <w:tcW w:w="7245" w:type="dxa"/>
            <w:gridSpan w:val="5"/>
            <w:tcBorders>
              <w:top w:val="nil"/>
              <w:left w:val="nil"/>
              <w:bottom w:val="nil"/>
              <w:right w:val="nil"/>
            </w:tcBorders>
            <w:shd w:val="clear" w:color="auto" w:fill="auto"/>
            <w:noWrap/>
            <w:vAlign w:val="bottom"/>
            <w:hideMark/>
          </w:tcPr>
          <w:p w:rsidR="0020609B" w:rsidRPr="007E3B76" w:rsidRDefault="0020609B" w:rsidP="0020609B">
            <w:pPr>
              <w:spacing w:after="0" w:line="240" w:lineRule="auto"/>
              <w:rPr>
                <w:rFonts w:ascii="Arial" w:eastAsia="Times New Roman" w:hAnsi="Arial" w:cs="Arial"/>
                <w:color w:val="000000"/>
                <w:sz w:val="16"/>
                <w:lang w:eastAsia="es-ES"/>
              </w:rPr>
            </w:pPr>
            <w:r w:rsidRPr="007E3B76">
              <w:rPr>
                <w:rFonts w:ascii="Arial" w:eastAsia="Times New Roman" w:hAnsi="Arial" w:cs="Arial"/>
                <w:color w:val="000000"/>
                <w:sz w:val="16"/>
                <w:lang w:eastAsia="es-ES"/>
              </w:rPr>
              <w:t>*Notificado por Bogotá, pendiente la corrección del departamento/distrito de origen del caso</w:t>
            </w:r>
            <w:r w:rsidR="007E3B76" w:rsidRPr="007E3B76">
              <w:rPr>
                <w:rFonts w:ascii="Arial" w:eastAsia="Times New Roman" w:hAnsi="Arial" w:cs="Arial"/>
                <w:color w:val="000000"/>
                <w:sz w:val="16"/>
                <w:lang w:eastAsia="es-ES"/>
              </w:rPr>
              <w:t>.</w:t>
            </w:r>
            <w:r w:rsidRPr="007E3B76">
              <w:rPr>
                <w:rFonts w:ascii="Arial" w:eastAsia="Times New Roman" w:hAnsi="Arial" w:cs="Arial"/>
                <w:b/>
                <w:color w:val="000000"/>
                <w:sz w:val="16"/>
                <w:lang w:eastAsia="es-ES"/>
              </w:rPr>
              <w:t>Fuente</w:t>
            </w:r>
            <w:r w:rsidRPr="007E3B76">
              <w:rPr>
                <w:rFonts w:ascii="Arial" w:eastAsia="Times New Roman" w:hAnsi="Arial" w:cs="Arial"/>
                <w:color w:val="000000"/>
                <w:sz w:val="16"/>
                <w:lang w:eastAsia="es-ES"/>
              </w:rPr>
              <w:t>: Sivigila</w:t>
            </w:r>
          </w:p>
          <w:p w:rsidR="00BC056C" w:rsidRPr="0020609B" w:rsidRDefault="00BC056C" w:rsidP="0020609B">
            <w:pPr>
              <w:spacing w:after="0" w:line="240" w:lineRule="auto"/>
              <w:rPr>
                <w:rFonts w:ascii="Calibri" w:eastAsia="Times New Roman" w:hAnsi="Calibri" w:cs="Calibri"/>
                <w:color w:val="000000"/>
                <w:lang w:eastAsia="es-ES"/>
              </w:rPr>
            </w:pPr>
          </w:p>
        </w:tc>
      </w:tr>
    </w:tbl>
    <w:p w:rsidR="00A54B7D" w:rsidRDefault="00BC056C" w:rsidP="00BC056C">
      <w:pPr>
        <w:jc w:val="both"/>
        <w:rPr>
          <w:rFonts w:ascii="Arial" w:hAnsi="Arial" w:cs="Arial"/>
          <w:sz w:val="24"/>
        </w:rPr>
      </w:pPr>
      <w:r>
        <w:rPr>
          <w:rFonts w:ascii="Arial" w:hAnsi="Arial" w:cs="Arial"/>
          <w:sz w:val="24"/>
        </w:rPr>
        <w:t>Del total de 6 defunciones, 4 fueron reportadas en el departamento de la Guajira.</w:t>
      </w:r>
    </w:p>
    <w:p w:rsidR="001F22ED" w:rsidRPr="00483803" w:rsidRDefault="001F22ED" w:rsidP="00BC056C">
      <w:pPr>
        <w:jc w:val="both"/>
        <w:rPr>
          <w:rFonts w:ascii="Arial" w:hAnsi="Arial" w:cs="Arial"/>
          <w:sz w:val="24"/>
        </w:rPr>
      </w:pPr>
    </w:p>
    <w:p w:rsidR="00DD6B5B" w:rsidRDefault="0020609B" w:rsidP="002D6F16">
      <w:pPr>
        <w:ind w:left="708" w:hanging="708"/>
        <w:jc w:val="center"/>
        <w:rPr>
          <w:rFonts w:ascii="Arial" w:hAnsi="Arial" w:cs="Arial"/>
          <w:b/>
          <w:sz w:val="24"/>
        </w:rPr>
      </w:pPr>
      <w:r w:rsidRPr="00BC056C">
        <w:rPr>
          <w:rFonts w:ascii="Arial" w:hAnsi="Arial" w:cs="Arial"/>
          <w:b/>
          <w:sz w:val="24"/>
        </w:rPr>
        <w:t>CASOS DE MALARIA POR GRUPOS DE EDAD</w:t>
      </w:r>
    </w:p>
    <w:p w:rsidR="00952E75" w:rsidRDefault="00BC056C" w:rsidP="00952E75">
      <w:pPr>
        <w:spacing w:after="0"/>
        <w:ind w:left="708" w:hanging="708"/>
        <w:jc w:val="center"/>
        <w:rPr>
          <w:rFonts w:ascii="Arial" w:hAnsi="Arial" w:cs="Arial"/>
          <w:b/>
          <w:sz w:val="24"/>
        </w:rPr>
      </w:pPr>
      <w:r w:rsidRPr="00BC056C">
        <w:rPr>
          <w:noProof/>
          <w:lang w:eastAsia="es-ES"/>
        </w:rPr>
        <w:drawing>
          <wp:inline distT="0" distB="0" distL="0" distR="0">
            <wp:extent cx="3371850" cy="186637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71850" cy="1866376"/>
                    </a:xfrm>
                    <a:prstGeom prst="rect">
                      <a:avLst/>
                    </a:prstGeom>
                    <a:noFill/>
                    <a:ln>
                      <a:noFill/>
                    </a:ln>
                  </pic:spPr>
                </pic:pic>
              </a:graphicData>
            </a:graphic>
          </wp:inline>
        </w:drawing>
      </w:r>
    </w:p>
    <w:p w:rsidR="00BC056C" w:rsidRPr="007E3B76" w:rsidRDefault="00BC056C" w:rsidP="00952E75">
      <w:pPr>
        <w:spacing w:after="0"/>
        <w:ind w:left="708" w:hanging="708"/>
        <w:jc w:val="center"/>
        <w:rPr>
          <w:rFonts w:ascii="Arial" w:hAnsi="Arial" w:cs="Arial"/>
          <w:sz w:val="16"/>
        </w:rPr>
      </w:pPr>
      <w:r w:rsidRPr="007E3B76">
        <w:rPr>
          <w:rFonts w:ascii="Arial" w:hAnsi="Arial" w:cs="Arial"/>
          <w:b/>
          <w:sz w:val="16"/>
        </w:rPr>
        <w:t>Fuente</w:t>
      </w:r>
      <w:r w:rsidRPr="007E3B76">
        <w:rPr>
          <w:rFonts w:ascii="Arial" w:hAnsi="Arial" w:cs="Arial"/>
          <w:sz w:val="16"/>
        </w:rPr>
        <w:t>: Sivigila</w:t>
      </w:r>
    </w:p>
    <w:p w:rsidR="0045796D" w:rsidRDefault="0045796D" w:rsidP="00EB5CB6">
      <w:pPr>
        <w:spacing w:after="0"/>
        <w:jc w:val="both"/>
        <w:rPr>
          <w:rFonts w:ascii="Arial" w:hAnsi="Arial" w:cs="Arial"/>
          <w:sz w:val="24"/>
        </w:rPr>
      </w:pPr>
    </w:p>
    <w:p w:rsidR="00952E75" w:rsidRDefault="0045796D" w:rsidP="0098521D">
      <w:pPr>
        <w:jc w:val="both"/>
        <w:rPr>
          <w:rFonts w:ascii="Arial" w:hAnsi="Arial" w:cs="Arial"/>
          <w:sz w:val="24"/>
        </w:rPr>
      </w:pPr>
      <w:r>
        <w:rPr>
          <w:rFonts w:ascii="Arial" w:hAnsi="Arial" w:cs="Arial"/>
          <w:sz w:val="24"/>
        </w:rPr>
        <w:t>De acuerdo con la segunda tabla, u</w:t>
      </w:r>
      <w:r w:rsidRPr="0045796D">
        <w:rPr>
          <w:rFonts w:ascii="Arial" w:hAnsi="Arial" w:cs="Arial"/>
          <w:sz w:val="24"/>
        </w:rPr>
        <w:t>na tercera parte de los</w:t>
      </w:r>
      <w:r>
        <w:rPr>
          <w:rFonts w:ascii="Arial" w:hAnsi="Arial" w:cs="Arial"/>
          <w:sz w:val="24"/>
        </w:rPr>
        <w:t xml:space="preserve"> que </w:t>
      </w:r>
      <w:r w:rsidRPr="0045796D">
        <w:rPr>
          <w:rFonts w:ascii="Arial" w:hAnsi="Arial" w:cs="Arial"/>
          <w:sz w:val="24"/>
        </w:rPr>
        <w:t>sufren la enfermedad son menores de 15 años: 11,4% están en el grupo de 10 a 14 años, 10,3% en el de 5 a 9 años y 7,8% en el de 0 a 4 años</w:t>
      </w:r>
      <w:r>
        <w:rPr>
          <w:rFonts w:ascii="Arial" w:hAnsi="Arial" w:cs="Arial"/>
          <w:sz w:val="24"/>
        </w:rPr>
        <w:t>.</w:t>
      </w:r>
      <w:r w:rsidR="007A58B0">
        <w:rPr>
          <w:rFonts w:ascii="Arial" w:hAnsi="Arial" w:cs="Arial"/>
          <w:sz w:val="24"/>
        </w:rPr>
        <w:t xml:space="preserve"> Adicionalmente, </w:t>
      </w:r>
      <w:r w:rsidR="007A58B0" w:rsidRPr="007A58B0">
        <w:rPr>
          <w:rFonts w:ascii="Arial" w:hAnsi="Arial" w:cs="Arial"/>
          <w:sz w:val="24"/>
        </w:rPr>
        <w:t>De las 2206 mujeres en edad fértil (entre 10 y 54 años) que desarrollaron un cuadro de malaria, en el 5,35% de ellas se reportó que estaban embarazadas</w:t>
      </w:r>
      <w:r w:rsidR="007A58B0">
        <w:rPr>
          <w:rStyle w:val="Refdenotaalpie"/>
          <w:rFonts w:ascii="Arial" w:hAnsi="Arial" w:cs="Arial"/>
          <w:sz w:val="24"/>
        </w:rPr>
        <w:footnoteReference w:id="16"/>
      </w:r>
      <w:r w:rsidR="007A58B0" w:rsidRPr="007A58B0">
        <w:rPr>
          <w:rFonts w:ascii="Arial" w:hAnsi="Arial" w:cs="Arial"/>
          <w:sz w:val="24"/>
        </w:rPr>
        <w:t>.</w:t>
      </w:r>
    </w:p>
    <w:p w:rsidR="00EB5CB6" w:rsidRPr="00EB5CB6" w:rsidRDefault="00EB5CB6" w:rsidP="00EB5CB6">
      <w:pPr>
        <w:jc w:val="both"/>
        <w:rPr>
          <w:rFonts w:ascii="Arial" w:hAnsi="Arial" w:cs="Arial"/>
          <w:sz w:val="24"/>
        </w:rPr>
      </w:pPr>
      <w:r w:rsidRPr="00EB5CB6">
        <w:rPr>
          <w:rFonts w:ascii="Arial" w:hAnsi="Arial" w:cs="Arial"/>
          <w:sz w:val="24"/>
        </w:rPr>
        <w:lastRenderedPageBreak/>
        <w:t>Por departamento de procedencia, Antioquia ha notificado el 44,9% de los casos, seguido por Córdoba con 16,7% y Chocó con 14,3% de los casos. Estos tres departamentos agrupan el 75.9% de casos notificados en el país.</w:t>
      </w:r>
    </w:p>
    <w:p w:rsidR="00EB5CB6" w:rsidRPr="0045796D" w:rsidRDefault="00CC12E5" w:rsidP="0098521D">
      <w:pPr>
        <w:jc w:val="both"/>
        <w:rPr>
          <w:rFonts w:ascii="Arial" w:hAnsi="Arial" w:cs="Arial"/>
          <w:b/>
          <w:sz w:val="28"/>
          <w:u w:val="single"/>
        </w:rPr>
      </w:pPr>
      <w:r w:rsidRPr="00CC12E5">
        <w:rPr>
          <w:rFonts w:ascii="Arial" w:hAnsi="Arial" w:cs="Arial"/>
          <w:sz w:val="24"/>
        </w:rPr>
        <w:t xml:space="preserve">La </w:t>
      </w:r>
      <w:r w:rsidRPr="00CC12E5">
        <w:rPr>
          <w:rFonts w:ascii="Arial" w:hAnsi="Arial" w:cs="Arial"/>
          <w:b/>
          <w:i/>
          <w:sz w:val="24"/>
        </w:rPr>
        <w:t>enfermedad diarreica aguda</w:t>
      </w:r>
      <w:r>
        <w:rPr>
          <w:rFonts w:ascii="Arial" w:hAnsi="Arial" w:cs="Arial"/>
          <w:b/>
          <w:i/>
          <w:sz w:val="24"/>
        </w:rPr>
        <w:t xml:space="preserve"> EDA</w:t>
      </w:r>
      <w:r w:rsidRPr="00CC12E5">
        <w:rPr>
          <w:rFonts w:ascii="Arial" w:hAnsi="Arial" w:cs="Arial"/>
          <w:sz w:val="24"/>
        </w:rPr>
        <w:t>, igualmente relacionada con el deterioro en la calidad de agua para consumo humano</w:t>
      </w:r>
      <w:r>
        <w:rPr>
          <w:rFonts w:ascii="Arial" w:hAnsi="Arial" w:cs="Arial"/>
          <w:sz w:val="24"/>
        </w:rPr>
        <w:t>, cuenta con pocos reportes nacionales actualizados. Para el primer bimest</w:t>
      </w:r>
      <w:r w:rsidRPr="00CC12E5">
        <w:rPr>
          <w:rFonts w:ascii="Arial" w:hAnsi="Arial" w:cs="Arial"/>
          <w:sz w:val="24"/>
        </w:rPr>
        <w:t xml:space="preserve">re de 2011, se notificaron </w:t>
      </w:r>
      <w:r>
        <w:rPr>
          <w:rFonts w:ascii="Arial" w:hAnsi="Arial" w:cs="Arial"/>
          <w:sz w:val="24"/>
        </w:rPr>
        <w:t xml:space="preserve">al </w:t>
      </w:r>
      <w:r w:rsidRPr="002F07A8">
        <w:rPr>
          <w:rFonts w:ascii="Arial" w:hAnsi="Arial" w:cs="Arial"/>
          <w:b/>
          <w:sz w:val="24"/>
        </w:rPr>
        <w:t>SIVIGILA</w:t>
      </w:r>
      <w:r>
        <w:rPr>
          <w:rFonts w:ascii="Arial" w:hAnsi="Arial" w:cs="Arial"/>
          <w:sz w:val="24"/>
        </w:rPr>
        <w:t xml:space="preserve">, </w:t>
      </w:r>
      <w:r w:rsidRPr="00CC12E5">
        <w:rPr>
          <w:rFonts w:ascii="Arial" w:hAnsi="Arial" w:cs="Arial"/>
          <w:sz w:val="24"/>
        </w:rPr>
        <w:t xml:space="preserve">un total de 14 casos de </w:t>
      </w:r>
      <w:r w:rsidRPr="00CC12E5">
        <w:rPr>
          <w:rFonts w:ascii="Arial" w:hAnsi="Arial" w:cs="Arial"/>
          <w:sz w:val="24"/>
          <w:u w:val="single"/>
        </w:rPr>
        <w:t>mortalidad por EDA</w:t>
      </w:r>
      <w:r w:rsidRPr="00CC12E5">
        <w:rPr>
          <w:rFonts w:ascii="Arial" w:hAnsi="Arial" w:cs="Arial"/>
          <w:sz w:val="24"/>
        </w:rPr>
        <w:t xml:space="preserve"> en menores de 5 años. Durante la última semana del mes de febrero, ingresaron 4 nuevos casos, dos de los dos casos corresponden a un menor de 10 meses de edad, del sexo femenino y procedente de Rionegro Antioquia, el otro caso procedente del área rural de Maicao, sexo masculino y de 10 meses de edad</w:t>
      </w:r>
      <w:r w:rsidR="00A91E24">
        <w:rPr>
          <w:rStyle w:val="Refdenotaalpie"/>
          <w:rFonts w:ascii="Arial" w:hAnsi="Arial" w:cs="Arial"/>
          <w:sz w:val="24"/>
        </w:rPr>
        <w:footnoteReference w:id="17"/>
      </w:r>
      <w:r>
        <w:rPr>
          <w:rFonts w:ascii="Arial" w:hAnsi="Arial" w:cs="Arial"/>
          <w:sz w:val="24"/>
        </w:rPr>
        <w:t>.</w:t>
      </w:r>
    </w:p>
    <w:p w:rsidR="00C912D2" w:rsidRDefault="00756D3F" w:rsidP="0098521D">
      <w:pPr>
        <w:jc w:val="both"/>
        <w:rPr>
          <w:rFonts w:ascii="Arial" w:hAnsi="Arial" w:cs="Arial"/>
          <w:sz w:val="24"/>
        </w:rPr>
      </w:pPr>
      <w:r w:rsidRPr="00756D3F">
        <w:rPr>
          <w:rFonts w:ascii="Arial" w:hAnsi="Arial" w:cs="Arial"/>
          <w:sz w:val="24"/>
        </w:rPr>
        <w:t>Par</w:t>
      </w:r>
      <w:r w:rsidR="00C912D2">
        <w:rPr>
          <w:rFonts w:ascii="Arial" w:hAnsi="Arial" w:cs="Arial"/>
          <w:sz w:val="24"/>
        </w:rPr>
        <w:t xml:space="preserve">a el caso de </w:t>
      </w:r>
      <w:r w:rsidRPr="00756D3F">
        <w:rPr>
          <w:rFonts w:ascii="Arial" w:hAnsi="Arial" w:cs="Arial"/>
          <w:b/>
          <w:i/>
          <w:sz w:val="24"/>
        </w:rPr>
        <w:t>Tuberculosis</w:t>
      </w:r>
      <w:r w:rsidRPr="00756D3F">
        <w:rPr>
          <w:rFonts w:ascii="Arial" w:hAnsi="Arial" w:cs="Arial"/>
          <w:sz w:val="24"/>
        </w:rPr>
        <w:t xml:space="preserve">, </w:t>
      </w:r>
      <w:r w:rsidR="00C912D2">
        <w:rPr>
          <w:rFonts w:ascii="Arial" w:hAnsi="Arial" w:cs="Arial"/>
          <w:sz w:val="24"/>
        </w:rPr>
        <w:t>a</w:t>
      </w:r>
      <w:r w:rsidRPr="00756D3F">
        <w:rPr>
          <w:rFonts w:ascii="Arial" w:hAnsi="Arial" w:cs="Arial"/>
          <w:sz w:val="24"/>
        </w:rPr>
        <w:t xml:space="preserve">l primer </w:t>
      </w:r>
      <w:r w:rsidR="00C912D2">
        <w:rPr>
          <w:rFonts w:ascii="Arial" w:hAnsi="Arial" w:cs="Arial"/>
          <w:sz w:val="24"/>
        </w:rPr>
        <w:t>trimestre</w:t>
      </w:r>
      <w:r w:rsidRPr="00756D3F">
        <w:rPr>
          <w:rFonts w:ascii="Arial" w:hAnsi="Arial" w:cs="Arial"/>
          <w:sz w:val="24"/>
        </w:rPr>
        <w:t xml:space="preserve"> de 2011 fue reportado </w:t>
      </w:r>
      <w:r w:rsidRPr="00756D3F">
        <w:rPr>
          <w:rFonts w:ascii="Arial" w:hAnsi="Arial" w:cs="Arial"/>
          <w:sz w:val="24"/>
          <w:szCs w:val="24"/>
        </w:rPr>
        <w:t xml:space="preserve">al </w:t>
      </w:r>
      <w:r w:rsidRPr="00756D3F">
        <w:rPr>
          <w:rFonts w:ascii="Arial" w:hAnsi="Arial" w:cs="Arial"/>
          <w:b/>
          <w:sz w:val="24"/>
          <w:szCs w:val="24"/>
        </w:rPr>
        <w:t>SIVIGILA,</w:t>
      </w:r>
      <w:r w:rsidRPr="00756D3F">
        <w:rPr>
          <w:rFonts w:ascii="Arial" w:hAnsi="Arial" w:cs="Arial"/>
          <w:sz w:val="24"/>
        </w:rPr>
        <w:t>un total de 1</w:t>
      </w:r>
      <w:r>
        <w:rPr>
          <w:rFonts w:ascii="Arial" w:hAnsi="Arial" w:cs="Arial"/>
          <w:sz w:val="24"/>
        </w:rPr>
        <w:t>.</w:t>
      </w:r>
      <w:r w:rsidRPr="00756D3F">
        <w:rPr>
          <w:rFonts w:ascii="Arial" w:hAnsi="Arial" w:cs="Arial"/>
          <w:sz w:val="24"/>
        </w:rPr>
        <w:t xml:space="preserve">219 casos de TB, de los cuáles 193 se notificaron </w:t>
      </w:r>
      <w:r>
        <w:rPr>
          <w:rFonts w:ascii="Arial" w:hAnsi="Arial" w:cs="Arial"/>
          <w:sz w:val="24"/>
        </w:rPr>
        <w:t>la semana de elaboración del reporte.</w:t>
      </w:r>
      <w:r w:rsidR="00C912D2">
        <w:rPr>
          <w:rFonts w:ascii="Arial" w:hAnsi="Arial" w:cs="Arial"/>
          <w:sz w:val="24"/>
        </w:rPr>
        <w:t xml:space="preserve"> De los últimos 193 casos</w:t>
      </w:r>
      <w:r w:rsidR="005E2D4C">
        <w:rPr>
          <w:rFonts w:ascii="Arial" w:hAnsi="Arial" w:cs="Arial"/>
          <w:sz w:val="24"/>
        </w:rPr>
        <w:t>, la mayoría</w:t>
      </w:r>
      <w:r w:rsidR="00C912D2">
        <w:rPr>
          <w:rFonts w:ascii="Arial" w:hAnsi="Arial" w:cs="Arial"/>
          <w:sz w:val="24"/>
        </w:rPr>
        <w:t xml:space="preserve"> se registran </w:t>
      </w:r>
      <w:r w:rsidR="005E2D4C">
        <w:rPr>
          <w:rFonts w:ascii="Arial" w:hAnsi="Arial" w:cs="Arial"/>
          <w:sz w:val="24"/>
        </w:rPr>
        <w:t>en las siguientes ciudades</w:t>
      </w:r>
      <w:r w:rsidR="00C912D2">
        <w:rPr>
          <w:rFonts w:ascii="Arial" w:hAnsi="Arial" w:cs="Arial"/>
          <w:sz w:val="24"/>
        </w:rPr>
        <w:t>:</w:t>
      </w:r>
    </w:p>
    <w:p w:rsidR="00BE70EE" w:rsidRDefault="00BE70EE" w:rsidP="0098521D">
      <w:pPr>
        <w:jc w:val="both"/>
        <w:rPr>
          <w:rFonts w:ascii="Arial" w:hAnsi="Arial" w:cs="Arial"/>
          <w:sz w:val="24"/>
        </w:rPr>
      </w:pPr>
    </w:p>
    <w:p w:rsidR="00A23CF2" w:rsidRPr="00C912D2" w:rsidRDefault="00C912D2" w:rsidP="00A23CF2">
      <w:pPr>
        <w:jc w:val="center"/>
        <w:rPr>
          <w:rFonts w:ascii="Arial" w:hAnsi="Arial" w:cs="Arial"/>
          <w:b/>
          <w:sz w:val="24"/>
        </w:rPr>
      </w:pPr>
      <w:r>
        <w:rPr>
          <w:rFonts w:ascii="Arial" w:hAnsi="Arial" w:cs="Arial"/>
          <w:b/>
          <w:sz w:val="24"/>
        </w:rPr>
        <w:t xml:space="preserve">CASOS NOTIFICADOS DE TB POR DEPARTAMENTO </w:t>
      </w:r>
      <w:r w:rsidR="00A23CF2">
        <w:rPr>
          <w:rFonts w:ascii="Arial" w:hAnsi="Arial" w:cs="Arial"/>
          <w:b/>
          <w:sz w:val="24"/>
        </w:rPr>
        <w:t>–</w:t>
      </w:r>
      <w:r>
        <w:rPr>
          <w:rFonts w:ascii="Arial" w:hAnsi="Arial" w:cs="Arial"/>
          <w:b/>
          <w:sz w:val="24"/>
        </w:rPr>
        <w:t xml:space="preserve"> COLOMBIA</w:t>
      </w:r>
    </w:p>
    <w:p w:rsidR="00C912D2" w:rsidRDefault="00C912D2" w:rsidP="00A23CF2">
      <w:pPr>
        <w:spacing w:after="0"/>
        <w:jc w:val="center"/>
        <w:rPr>
          <w:rFonts w:ascii="Arial" w:hAnsi="Arial" w:cs="Arial"/>
          <w:sz w:val="24"/>
        </w:rPr>
      </w:pPr>
      <w:r w:rsidRPr="00C912D2">
        <w:rPr>
          <w:noProof/>
          <w:lang w:eastAsia="es-ES"/>
        </w:rPr>
        <w:drawing>
          <wp:inline distT="0" distB="0" distL="0" distR="0">
            <wp:extent cx="4562475" cy="13430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62475" cy="1343025"/>
                    </a:xfrm>
                    <a:prstGeom prst="rect">
                      <a:avLst/>
                    </a:prstGeom>
                    <a:noFill/>
                    <a:ln>
                      <a:noFill/>
                    </a:ln>
                  </pic:spPr>
                </pic:pic>
              </a:graphicData>
            </a:graphic>
          </wp:inline>
        </w:drawing>
      </w:r>
    </w:p>
    <w:p w:rsidR="00A23CF2" w:rsidRPr="00A23CF2" w:rsidRDefault="00A23CF2" w:rsidP="00C912D2">
      <w:pPr>
        <w:jc w:val="center"/>
        <w:rPr>
          <w:rFonts w:ascii="Arial" w:hAnsi="Arial" w:cs="Arial"/>
          <w:sz w:val="16"/>
        </w:rPr>
      </w:pPr>
      <w:r w:rsidRPr="007E3B76">
        <w:rPr>
          <w:rFonts w:ascii="Arial" w:hAnsi="Arial" w:cs="Arial"/>
          <w:b/>
          <w:sz w:val="16"/>
        </w:rPr>
        <w:t>Fuente</w:t>
      </w:r>
      <w:r>
        <w:rPr>
          <w:rFonts w:ascii="Arial" w:hAnsi="Arial" w:cs="Arial"/>
          <w:sz w:val="16"/>
        </w:rPr>
        <w:t>: SIVIGILA 2011, Instituto Nacional de Salud.</w:t>
      </w:r>
    </w:p>
    <w:p w:rsidR="00C912D2" w:rsidRDefault="005E2D4C" w:rsidP="0098521D">
      <w:pPr>
        <w:jc w:val="both"/>
        <w:rPr>
          <w:rFonts w:ascii="Arial" w:hAnsi="Arial" w:cs="Arial"/>
          <w:sz w:val="24"/>
        </w:rPr>
      </w:pPr>
      <w:r w:rsidRPr="005E2D4C">
        <w:rPr>
          <w:rFonts w:ascii="Arial" w:hAnsi="Arial" w:cs="Arial"/>
          <w:sz w:val="24"/>
        </w:rPr>
        <w:t xml:space="preserve">Durante </w:t>
      </w:r>
      <w:r>
        <w:rPr>
          <w:rFonts w:ascii="Arial" w:hAnsi="Arial" w:cs="Arial"/>
          <w:sz w:val="24"/>
        </w:rPr>
        <w:t>ese mismo periodo,</w:t>
      </w:r>
      <w:r w:rsidRPr="005E2D4C">
        <w:rPr>
          <w:rFonts w:ascii="Arial" w:hAnsi="Arial" w:cs="Arial"/>
          <w:sz w:val="24"/>
          <w:u w:val="single"/>
        </w:rPr>
        <w:t>se notificaron tres muertes por TB</w:t>
      </w:r>
      <w:r w:rsidRPr="005E2D4C">
        <w:rPr>
          <w:rFonts w:ascii="Arial" w:hAnsi="Arial" w:cs="Arial"/>
          <w:sz w:val="24"/>
        </w:rPr>
        <w:t xml:space="preserve"> pulmonar de los departamentos de Caldas, Caquetá y Putumayo y u</w:t>
      </w:r>
      <w:r>
        <w:rPr>
          <w:rFonts w:ascii="Arial" w:hAnsi="Arial" w:cs="Arial"/>
          <w:sz w:val="24"/>
        </w:rPr>
        <w:t>n caso notificado por Meta de</w:t>
      </w:r>
      <w:r w:rsidRPr="005E2D4C">
        <w:rPr>
          <w:rFonts w:ascii="Arial" w:hAnsi="Arial" w:cs="Arial"/>
          <w:sz w:val="24"/>
        </w:rPr>
        <w:t xml:space="preserve"> TB extrapulmonar</w:t>
      </w:r>
      <w:r>
        <w:rPr>
          <w:rFonts w:ascii="Arial" w:hAnsi="Arial" w:cs="Arial"/>
          <w:sz w:val="24"/>
        </w:rPr>
        <w:t>.</w:t>
      </w:r>
    </w:p>
    <w:p w:rsidR="00694331" w:rsidRDefault="00694331" w:rsidP="0098521D">
      <w:pPr>
        <w:jc w:val="both"/>
        <w:rPr>
          <w:rFonts w:ascii="Arial" w:hAnsi="Arial" w:cs="Arial"/>
          <w:b/>
          <w:sz w:val="24"/>
        </w:rPr>
      </w:pPr>
    </w:p>
    <w:p w:rsidR="001F22ED" w:rsidRDefault="001F22ED" w:rsidP="0098521D">
      <w:pPr>
        <w:jc w:val="both"/>
        <w:rPr>
          <w:rFonts w:ascii="Arial" w:hAnsi="Arial" w:cs="Arial"/>
          <w:b/>
          <w:sz w:val="24"/>
        </w:rPr>
      </w:pPr>
    </w:p>
    <w:p w:rsidR="00DD6B5B" w:rsidRPr="007E3B76" w:rsidRDefault="007E3B76" w:rsidP="0098521D">
      <w:pPr>
        <w:jc w:val="both"/>
        <w:rPr>
          <w:rFonts w:ascii="Arial" w:hAnsi="Arial" w:cs="Arial"/>
          <w:b/>
        </w:rPr>
      </w:pPr>
      <w:r w:rsidRPr="007E3B76">
        <w:rPr>
          <w:rFonts w:ascii="Arial" w:hAnsi="Arial" w:cs="Arial"/>
          <w:b/>
          <w:sz w:val="24"/>
        </w:rPr>
        <w:lastRenderedPageBreak/>
        <w:t>DEFINICIONES</w:t>
      </w:r>
      <w:r w:rsidR="000E12B2" w:rsidRPr="007E3B76">
        <w:rPr>
          <w:rFonts w:ascii="Arial" w:hAnsi="Arial" w:cs="Arial"/>
          <w:b/>
        </w:rPr>
        <w:t>:</w:t>
      </w:r>
    </w:p>
    <w:p w:rsidR="004F3CD9" w:rsidRPr="00AE2090" w:rsidRDefault="004F3CD9" w:rsidP="00351CD2">
      <w:pPr>
        <w:jc w:val="both"/>
        <w:rPr>
          <w:rFonts w:ascii="Arial" w:hAnsi="Arial" w:cs="Arial"/>
          <w:b/>
          <w:bCs/>
          <w:sz w:val="24"/>
        </w:rPr>
      </w:pPr>
      <w:r w:rsidRPr="00AE2090">
        <w:rPr>
          <w:rFonts w:ascii="Arial" w:hAnsi="Arial" w:cs="Arial"/>
          <w:b/>
          <w:bCs/>
          <w:sz w:val="24"/>
        </w:rPr>
        <w:t xml:space="preserve">Aguas Subterráneas: </w:t>
      </w:r>
      <w:r w:rsidRPr="00AE2090">
        <w:rPr>
          <w:rFonts w:ascii="Arial" w:hAnsi="Arial" w:cs="Arial"/>
          <w:sz w:val="24"/>
        </w:rPr>
        <w:t>Se encuentra en el subsuelo, se desplaza formando napas.</w:t>
      </w:r>
    </w:p>
    <w:p w:rsidR="00351CD2" w:rsidRPr="00AF267E" w:rsidRDefault="00351CD2" w:rsidP="00351CD2">
      <w:pPr>
        <w:jc w:val="both"/>
        <w:rPr>
          <w:rFonts w:ascii="Arial" w:hAnsi="Arial" w:cs="Arial"/>
          <w:sz w:val="24"/>
          <w:szCs w:val="24"/>
        </w:rPr>
      </w:pPr>
      <w:r w:rsidRPr="00AF267E">
        <w:rPr>
          <w:rFonts w:ascii="Arial" w:hAnsi="Arial" w:cs="Arial"/>
          <w:b/>
          <w:bCs/>
          <w:sz w:val="24"/>
          <w:szCs w:val="24"/>
        </w:rPr>
        <w:t>Acuífero:</w:t>
      </w:r>
      <w:r w:rsidRPr="00AF267E">
        <w:rPr>
          <w:rFonts w:ascii="Arial" w:hAnsi="Arial" w:cs="Arial"/>
          <w:sz w:val="24"/>
          <w:szCs w:val="24"/>
        </w:rPr>
        <w:t xml:space="preserve"> El agua subterránea representa una fracción importante del agua presente en los continentes, con un volumen mucho más importante que el del agua retenida en </w:t>
      </w:r>
      <w:r w:rsidR="00A62FAD" w:rsidRPr="00AF267E">
        <w:rPr>
          <w:rFonts w:ascii="Arial" w:hAnsi="Arial" w:cs="Arial"/>
          <w:sz w:val="24"/>
          <w:szCs w:val="24"/>
        </w:rPr>
        <w:t>lagos o circulante</w:t>
      </w:r>
      <w:r w:rsidRPr="00AF267E">
        <w:rPr>
          <w:rFonts w:ascii="Arial" w:hAnsi="Arial" w:cs="Arial"/>
          <w:sz w:val="24"/>
          <w:szCs w:val="24"/>
        </w:rPr>
        <w:t xml:space="preserve">. El agua del subsuelo es un recurso importante, pero de difícil gestión, por su sensibilidad a la contaminación y a la sobreexplotación. </w:t>
      </w:r>
    </w:p>
    <w:p w:rsidR="00351CD2" w:rsidRPr="00AF267E" w:rsidRDefault="00DD097F" w:rsidP="0098521D">
      <w:pPr>
        <w:jc w:val="both"/>
        <w:rPr>
          <w:rFonts w:ascii="Arial" w:hAnsi="Arial" w:cs="Arial"/>
          <w:b/>
          <w:sz w:val="24"/>
          <w:szCs w:val="24"/>
        </w:rPr>
      </w:pPr>
      <w:r w:rsidRPr="00AF267E">
        <w:rPr>
          <w:rFonts w:ascii="Arial" w:hAnsi="Arial" w:cs="Arial"/>
          <w:b/>
          <w:sz w:val="24"/>
          <w:szCs w:val="24"/>
        </w:rPr>
        <w:t>Depuración:</w:t>
      </w:r>
      <w:r w:rsidR="004322C7" w:rsidRPr="004322C7">
        <w:rPr>
          <w:rFonts w:ascii="Arial" w:hAnsi="Arial" w:cs="Arial"/>
          <w:sz w:val="24"/>
          <w:szCs w:val="24"/>
        </w:rPr>
        <w:t>Limpiar, purificar, perfeccionar.</w:t>
      </w:r>
    </w:p>
    <w:p w:rsidR="00AF267E" w:rsidRDefault="00AF267E" w:rsidP="0098521D">
      <w:pPr>
        <w:jc w:val="both"/>
        <w:rPr>
          <w:rFonts w:ascii="Arial" w:hAnsi="Arial" w:cs="Arial"/>
          <w:sz w:val="24"/>
        </w:rPr>
      </w:pPr>
      <w:r w:rsidRPr="00AF267E">
        <w:rPr>
          <w:rFonts w:ascii="Arial" w:hAnsi="Arial" w:cs="Arial"/>
          <w:b/>
          <w:sz w:val="24"/>
          <w:szCs w:val="24"/>
        </w:rPr>
        <w:t>Lixiviados:</w:t>
      </w:r>
      <w:r w:rsidRPr="00AF267E">
        <w:rPr>
          <w:rFonts w:ascii="Arial" w:hAnsi="Arial" w:cs="Arial"/>
          <w:sz w:val="24"/>
        </w:rPr>
        <w:t>Líquido que se ha filtrado a través de los residuos sólidos u otros medios y que ha extraído, disuelto o suspendido materiales potencialmente dañinos</w:t>
      </w:r>
      <w:r>
        <w:rPr>
          <w:rFonts w:ascii="Arial" w:hAnsi="Arial" w:cs="Arial"/>
          <w:sz w:val="24"/>
        </w:rPr>
        <w:t>,</w:t>
      </w:r>
      <w:r w:rsidRPr="00AF267E">
        <w:rPr>
          <w:rFonts w:ascii="Arial" w:hAnsi="Arial" w:cs="Arial"/>
          <w:sz w:val="24"/>
        </w:rPr>
        <w:t xml:space="preserve"> a partir de ellos.</w:t>
      </w:r>
    </w:p>
    <w:p w:rsidR="008D0500" w:rsidRDefault="008D0500" w:rsidP="0098521D">
      <w:pPr>
        <w:jc w:val="both"/>
        <w:rPr>
          <w:rFonts w:ascii="Arial" w:hAnsi="Arial" w:cs="Arial"/>
          <w:sz w:val="24"/>
        </w:rPr>
      </w:pPr>
      <w:r>
        <w:rPr>
          <w:rFonts w:ascii="Arial" w:hAnsi="Arial" w:cs="Arial"/>
          <w:b/>
          <w:sz w:val="24"/>
        </w:rPr>
        <w:t xml:space="preserve">Malaria: </w:t>
      </w:r>
      <w:r w:rsidRPr="008D0500">
        <w:rPr>
          <w:rFonts w:ascii="Arial" w:hAnsi="Arial" w:cs="Arial"/>
          <w:sz w:val="24"/>
        </w:rPr>
        <w:t xml:space="preserve">Enfermedad infecciosa producida por el parásito </w:t>
      </w:r>
      <w:r w:rsidRPr="008D0500">
        <w:rPr>
          <w:rFonts w:ascii="Arial" w:hAnsi="Arial" w:cs="Arial"/>
          <w:i/>
          <w:sz w:val="24"/>
        </w:rPr>
        <w:t>plasmodium</w:t>
      </w:r>
      <w:r w:rsidRPr="008D0500">
        <w:rPr>
          <w:rFonts w:ascii="Arial" w:hAnsi="Arial" w:cs="Arial"/>
          <w:sz w:val="24"/>
        </w:rPr>
        <w:t xml:space="preserve">, que transmite la hembra mosquito </w:t>
      </w:r>
      <w:r w:rsidRPr="008D0500">
        <w:rPr>
          <w:rFonts w:ascii="Arial" w:hAnsi="Arial" w:cs="Arial"/>
          <w:i/>
          <w:sz w:val="24"/>
        </w:rPr>
        <w:t>Anófeles</w:t>
      </w:r>
      <w:r>
        <w:rPr>
          <w:rFonts w:ascii="Arial" w:hAnsi="Arial" w:cs="Arial"/>
          <w:i/>
          <w:sz w:val="24"/>
        </w:rPr>
        <w:t xml:space="preserve">, </w:t>
      </w:r>
      <w:r>
        <w:rPr>
          <w:rFonts w:ascii="Arial" w:hAnsi="Arial" w:cs="Arial"/>
          <w:sz w:val="24"/>
        </w:rPr>
        <w:t>y</w:t>
      </w:r>
      <w:r w:rsidRPr="008D0500">
        <w:rPr>
          <w:rFonts w:ascii="Arial" w:hAnsi="Arial" w:cs="Arial"/>
          <w:sz w:val="24"/>
        </w:rPr>
        <w:t>se adquiere por exposición</w:t>
      </w:r>
      <w:r>
        <w:rPr>
          <w:rFonts w:ascii="Arial" w:hAnsi="Arial" w:cs="Arial"/>
          <w:sz w:val="24"/>
        </w:rPr>
        <w:t xml:space="preserve"> a la picadura. </w:t>
      </w:r>
    </w:p>
    <w:p w:rsidR="009E7D64" w:rsidRPr="009E7D64" w:rsidRDefault="009E7D64" w:rsidP="009E7D64">
      <w:pPr>
        <w:jc w:val="both"/>
        <w:rPr>
          <w:rFonts w:ascii="Arial" w:hAnsi="Arial" w:cs="Arial"/>
          <w:sz w:val="24"/>
        </w:rPr>
      </w:pPr>
      <w:r w:rsidRPr="009E7D64">
        <w:rPr>
          <w:rFonts w:ascii="Arial" w:hAnsi="Arial" w:cs="Arial"/>
          <w:b/>
          <w:sz w:val="24"/>
        </w:rPr>
        <w:t>Enf</w:t>
      </w:r>
      <w:r w:rsidRPr="00694331">
        <w:rPr>
          <w:rFonts w:ascii="Arial" w:hAnsi="Arial" w:cs="Arial"/>
          <w:b/>
          <w:sz w:val="24"/>
        </w:rPr>
        <w:t>er</w:t>
      </w:r>
      <w:r w:rsidRPr="009E7D64">
        <w:rPr>
          <w:rFonts w:ascii="Arial" w:hAnsi="Arial" w:cs="Arial"/>
          <w:b/>
          <w:sz w:val="24"/>
        </w:rPr>
        <w:t>medad diarreica aguda:</w:t>
      </w:r>
      <w:r>
        <w:rPr>
          <w:rFonts w:ascii="Arial" w:hAnsi="Arial" w:cs="Arial"/>
          <w:sz w:val="24"/>
        </w:rPr>
        <w:t xml:space="preserve"> In</w:t>
      </w:r>
      <w:r w:rsidRPr="009E7D64">
        <w:rPr>
          <w:rFonts w:ascii="Arial" w:hAnsi="Arial" w:cs="Arial"/>
          <w:sz w:val="24"/>
        </w:rPr>
        <w:t xml:space="preserve">fección del tracto gastrointestinal, que se caracteriza por disminución en la consistencia, aumento en el volumen y/o aumento en el número de deposiciones (más de tres en 24 horas), que llevan a deshidratación y desequilibrio hidroelectrolítico, lo cual puede producir la muerte. </w:t>
      </w:r>
      <w:r>
        <w:rPr>
          <w:rFonts w:ascii="Arial" w:hAnsi="Arial" w:cs="Arial"/>
          <w:sz w:val="24"/>
        </w:rPr>
        <w:t>E</w:t>
      </w:r>
      <w:r w:rsidRPr="009E7D64">
        <w:rPr>
          <w:rFonts w:ascii="Arial" w:hAnsi="Arial" w:cs="Arial"/>
          <w:sz w:val="24"/>
        </w:rPr>
        <w:t xml:space="preserve">s producida por una diversidad de microorganismos, principalmente virus, bacterias y parásitos (E. histolytica, Shigella, E. coli, Campylobacter, rotavirus). </w:t>
      </w:r>
    </w:p>
    <w:p w:rsidR="009E7D64" w:rsidRPr="005E2D4C" w:rsidRDefault="005E2D4C" w:rsidP="005E2D4C">
      <w:pPr>
        <w:jc w:val="both"/>
        <w:rPr>
          <w:rFonts w:ascii="Arial" w:hAnsi="Arial" w:cs="Arial"/>
          <w:b/>
          <w:sz w:val="24"/>
        </w:rPr>
      </w:pPr>
      <w:r w:rsidRPr="005E2D4C">
        <w:rPr>
          <w:rFonts w:ascii="Arial" w:hAnsi="Arial" w:cs="Arial"/>
          <w:b/>
          <w:sz w:val="24"/>
        </w:rPr>
        <w:t>Tuberculosis:</w:t>
      </w:r>
      <w:r w:rsidRPr="005E2D4C">
        <w:rPr>
          <w:rFonts w:ascii="Arial" w:hAnsi="Arial" w:cs="Arial"/>
          <w:sz w:val="24"/>
        </w:rPr>
        <w:t xml:space="preserve"> Es una enfermedad infecciosa producida por el bacilo de Koch y caracterizada por la aparición de un pequeño nódulo denominado tubérculo. Puede afectar los pulmones, aunque también puede atacar al sistema circulatorio, el sistema nervioso central, los huesos y la piel</w:t>
      </w:r>
      <w:r>
        <w:rPr>
          <w:rFonts w:ascii="Arial" w:hAnsi="Arial" w:cs="Arial"/>
          <w:sz w:val="24"/>
        </w:rPr>
        <w:t>.</w:t>
      </w:r>
    </w:p>
    <w:p w:rsidR="001F22ED" w:rsidRDefault="001F22ED" w:rsidP="001D6C33">
      <w:pPr>
        <w:jc w:val="both"/>
        <w:rPr>
          <w:rFonts w:ascii="Arial" w:hAnsi="Arial" w:cs="Arial"/>
          <w:b/>
          <w:sz w:val="24"/>
        </w:rPr>
      </w:pPr>
    </w:p>
    <w:p w:rsidR="0098521D" w:rsidRPr="007E3B76" w:rsidRDefault="007E3B76" w:rsidP="001D6C33">
      <w:pPr>
        <w:jc w:val="both"/>
        <w:rPr>
          <w:rFonts w:ascii="Arial" w:hAnsi="Arial" w:cs="Arial"/>
          <w:b/>
          <w:sz w:val="24"/>
        </w:rPr>
      </w:pPr>
      <w:r w:rsidRPr="007E3B76">
        <w:rPr>
          <w:rFonts w:ascii="Arial" w:hAnsi="Arial" w:cs="Arial"/>
          <w:b/>
          <w:sz w:val="24"/>
        </w:rPr>
        <w:t>MARCO NORMATIVO:</w:t>
      </w:r>
    </w:p>
    <w:p w:rsidR="00B67294" w:rsidRPr="00694331" w:rsidRDefault="00B67294"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Programa de las Naciones Unidas para el Medio Ambiente PNUMA.</w:t>
      </w:r>
    </w:p>
    <w:p w:rsidR="00632342" w:rsidRPr="00694331" w:rsidRDefault="00632342"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 xml:space="preserve">Res. AG 2994 de 15/12/72 - </w:t>
      </w:r>
      <w:r w:rsidRPr="00694331">
        <w:rPr>
          <w:rFonts w:ascii="Arial" w:hAnsi="Arial" w:cs="Arial"/>
          <w:i/>
          <w:sz w:val="24"/>
          <w:szCs w:val="24"/>
        </w:rPr>
        <w:t>Plan de Acción para el Medio Humano</w:t>
      </w:r>
      <w:r w:rsidRPr="00694331">
        <w:rPr>
          <w:rFonts w:ascii="Arial" w:hAnsi="Arial" w:cs="Arial"/>
          <w:sz w:val="24"/>
          <w:szCs w:val="24"/>
        </w:rPr>
        <w:t>. 1972. Estocolmo Conferencia de las Naciones Unidas sobre el Medio Humano</w:t>
      </w:r>
    </w:p>
    <w:p w:rsidR="00B67294" w:rsidRPr="00694331" w:rsidRDefault="00B67294"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Convención Marco de las Naciones Unidas sobre el Cambio Climático.</w:t>
      </w:r>
      <w:r w:rsidR="00632342" w:rsidRPr="00694331">
        <w:rPr>
          <w:rFonts w:ascii="Arial" w:hAnsi="Arial" w:cs="Arial"/>
          <w:sz w:val="24"/>
          <w:szCs w:val="24"/>
        </w:rPr>
        <w:t xml:space="preserve"> 1992.</w:t>
      </w:r>
    </w:p>
    <w:p w:rsidR="00632342" w:rsidRPr="00694331" w:rsidRDefault="00632342"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Convenio sobre la Diversidad Biológica. 1992.</w:t>
      </w:r>
    </w:p>
    <w:p w:rsidR="00632342" w:rsidRPr="00694331" w:rsidRDefault="00632342"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Declaración de Río sobre el Medio Ambiente y el Desarrollo.</w:t>
      </w:r>
      <w:r w:rsidR="000927FB" w:rsidRPr="00694331">
        <w:rPr>
          <w:rFonts w:ascii="Arial" w:hAnsi="Arial" w:cs="Arial"/>
          <w:sz w:val="24"/>
          <w:szCs w:val="24"/>
        </w:rPr>
        <w:t xml:space="preserve"> 1992.</w:t>
      </w:r>
    </w:p>
    <w:p w:rsidR="000927FB" w:rsidRPr="00694331" w:rsidRDefault="00B67294"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lastRenderedPageBreak/>
        <w:t>Protocolo de Kioto sobre el cambio climático.</w:t>
      </w:r>
      <w:r w:rsidR="000927FB" w:rsidRPr="00694331">
        <w:rPr>
          <w:rFonts w:ascii="Arial" w:hAnsi="Arial" w:cs="Arial"/>
          <w:sz w:val="24"/>
          <w:szCs w:val="24"/>
        </w:rPr>
        <w:t xml:space="preserve"> 1992.</w:t>
      </w:r>
    </w:p>
    <w:p w:rsidR="00B67294" w:rsidRPr="00694331" w:rsidRDefault="00B67294"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“Declaración del Milenio</w:t>
      </w:r>
      <w:r w:rsidR="00150A5E" w:rsidRPr="00694331">
        <w:rPr>
          <w:rFonts w:ascii="Arial" w:hAnsi="Arial" w:cs="Arial"/>
          <w:sz w:val="24"/>
          <w:szCs w:val="24"/>
        </w:rPr>
        <w:t xml:space="preserve"> de las Naciones Unidas</w:t>
      </w:r>
      <w:r w:rsidRPr="00694331">
        <w:rPr>
          <w:rFonts w:ascii="Arial" w:hAnsi="Arial" w:cs="Arial"/>
          <w:sz w:val="24"/>
          <w:szCs w:val="24"/>
        </w:rPr>
        <w:t>”</w:t>
      </w:r>
      <w:r w:rsidR="00150A5E" w:rsidRPr="00694331">
        <w:rPr>
          <w:rFonts w:ascii="Arial" w:hAnsi="Arial" w:cs="Arial"/>
          <w:sz w:val="24"/>
          <w:szCs w:val="24"/>
        </w:rPr>
        <w:t>: 8 Objetivos de Desarrollo del Milenio a alcanzar a 2015</w:t>
      </w:r>
      <w:r w:rsidR="009333F6" w:rsidRPr="00694331">
        <w:rPr>
          <w:rFonts w:ascii="Arial" w:hAnsi="Arial" w:cs="Arial"/>
          <w:sz w:val="24"/>
          <w:szCs w:val="24"/>
        </w:rPr>
        <w:t xml:space="preserve">, enmarcados en la lucha contra la pobreza, </w:t>
      </w:r>
      <w:r w:rsidR="009333F6" w:rsidRPr="00694331">
        <w:rPr>
          <w:rFonts w:ascii="Arial" w:hAnsi="Arial" w:cs="Arial"/>
          <w:sz w:val="24"/>
          <w:szCs w:val="24"/>
          <w:u w:val="single"/>
        </w:rPr>
        <w:t>el hambre</w:t>
      </w:r>
      <w:r w:rsidR="009333F6" w:rsidRPr="00694331">
        <w:rPr>
          <w:rFonts w:ascii="Arial" w:hAnsi="Arial" w:cs="Arial"/>
          <w:sz w:val="24"/>
          <w:szCs w:val="24"/>
        </w:rPr>
        <w:t xml:space="preserve">, </w:t>
      </w:r>
      <w:r w:rsidR="009333F6" w:rsidRPr="00694331">
        <w:rPr>
          <w:rFonts w:ascii="Arial" w:hAnsi="Arial" w:cs="Arial"/>
          <w:sz w:val="24"/>
          <w:szCs w:val="24"/>
          <w:u w:val="single"/>
        </w:rPr>
        <w:t>la enfermedad</w:t>
      </w:r>
      <w:r w:rsidR="009333F6" w:rsidRPr="00694331">
        <w:rPr>
          <w:rFonts w:ascii="Arial" w:hAnsi="Arial" w:cs="Arial"/>
          <w:sz w:val="24"/>
          <w:szCs w:val="24"/>
        </w:rPr>
        <w:t xml:space="preserve">, el analfabetismo, </w:t>
      </w:r>
      <w:r w:rsidR="009333F6" w:rsidRPr="00694331">
        <w:rPr>
          <w:rFonts w:ascii="Arial" w:hAnsi="Arial" w:cs="Arial"/>
          <w:sz w:val="24"/>
          <w:szCs w:val="24"/>
          <w:u w:val="single"/>
        </w:rPr>
        <w:t>la degradación del medio ambiente</w:t>
      </w:r>
      <w:r w:rsidR="009333F6" w:rsidRPr="00694331">
        <w:rPr>
          <w:rFonts w:ascii="Arial" w:hAnsi="Arial" w:cs="Arial"/>
          <w:sz w:val="24"/>
          <w:szCs w:val="24"/>
        </w:rPr>
        <w:t xml:space="preserve"> y la discriminación contra la mujer. A</w:t>
      </w:r>
      <w:r w:rsidR="00150A5E" w:rsidRPr="00694331">
        <w:rPr>
          <w:rFonts w:ascii="Arial" w:hAnsi="Arial" w:cs="Arial"/>
          <w:sz w:val="24"/>
          <w:szCs w:val="24"/>
        </w:rPr>
        <w:t>probada por 191 países miembros. 2000.</w:t>
      </w:r>
    </w:p>
    <w:p w:rsidR="00F87329" w:rsidRPr="00694331" w:rsidRDefault="00163548" w:rsidP="00694331">
      <w:pPr>
        <w:pStyle w:val="Prrafodelista"/>
        <w:numPr>
          <w:ilvl w:val="0"/>
          <w:numId w:val="4"/>
        </w:numPr>
        <w:ind w:left="284" w:hanging="284"/>
        <w:jc w:val="both"/>
        <w:rPr>
          <w:rFonts w:ascii="Arial" w:hAnsi="Arial" w:cs="Arial"/>
          <w:sz w:val="24"/>
          <w:szCs w:val="24"/>
        </w:rPr>
      </w:pPr>
      <w:r w:rsidRPr="00694331">
        <w:rPr>
          <w:rFonts w:ascii="Arial" w:hAnsi="Arial" w:cs="Arial"/>
          <w:sz w:val="24"/>
          <w:szCs w:val="24"/>
        </w:rPr>
        <w:t>“</w:t>
      </w:r>
      <w:r w:rsidR="00F87329" w:rsidRPr="00694331">
        <w:rPr>
          <w:rFonts w:ascii="Arial" w:hAnsi="Arial" w:cs="Arial"/>
          <w:sz w:val="24"/>
          <w:szCs w:val="24"/>
        </w:rPr>
        <w:t xml:space="preserve">Declaración de </w:t>
      </w:r>
      <w:r w:rsidRPr="00694331">
        <w:rPr>
          <w:rFonts w:ascii="Arial" w:hAnsi="Arial" w:cs="Arial"/>
          <w:sz w:val="24"/>
          <w:szCs w:val="24"/>
        </w:rPr>
        <w:t>Johannesburgo</w:t>
      </w:r>
      <w:r w:rsidR="00F87329" w:rsidRPr="00694331">
        <w:rPr>
          <w:rFonts w:ascii="Arial" w:hAnsi="Arial" w:cs="Arial"/>
          <w:sz w:val="24"/>
          <w:szCs w:val="24"/>
        </w:rPr>
        <w:t xml:space="preserve"> sobre Desarrollo Sostenible</w:t>
      </w:r>
      <w:r w:rsidRPr="00694331">
        <w:rPr>
          <w:rFonts w:ascii="Arial" w:hAnsi="Arial" w:cs="Arial"/>
          <w:sz w:val="24"/>
          <w:szCs w:val="24"/>
        </w:rPr>
        <w:t>”</w:t>
      </w:r>
      <w:r w:rsidR="00F87329" w:rsidRPr="00694331">
        <w:rPr>
          <w:rFonts w:ascii="Arial" w:hAnsi="Arial" w:cs="Arial"/>
          <w:sz w:val="24"/>
          <w:szCs w:val="24"/>
        </w:rPr>
        <w:t>. 2002</w:t>
      </w:r>
      <w:r w:rsidR="000927FB" w:rsidRPr="00694331">
        <w:rPr>
          <w:rFonts w:ascii="Arial" w:hAnsi="Arial" w:cs="Arial"/>
          <w:sz w:val="24"/>
          <w:szCs w:val="24"/>
        </w:rPr>
        <w:t>.</w:t>
      </w:r>
    </w:p>
    <w:p w:rsidR="00E55A08" w:rsidRPr="007E3B76" w:rsidRDefault="00E55A08" w:rsidP="00E55A08">
      <w:pPr>
        <w:jc w:val="both"/>
        <w:rPr>
          <w:rFonts w:ascii="Arial" w:hAnsi="Arial" w:cs="Arial"/>
          <w:i/>
          <w:sz w:val="24"/>
          <w:szCs w:val="24"/>
        </w:rPr>
      </w:pPr>
      <w:r w:rsidRPr="007E3B76">
        <w:rPr>
          <w:rFonts w:ascii="Arial" w:hAnsi="Arial" w:cs="Arial"/>
          <w:i/>
          <w:sz w:val="24"/>
          <w:szCs w:val="24"/>
        </w:rPr>
        <w:t>Normas Constitucionales:</w:t>
      </w:r>
    </w:p>
    <w:p w:rsidR="00E55A08" w:rsidRPr="00E55A08" w:rsidRDefault="00E55A08" w:rsidP="00E55A08">
      <w:pPr>
        <w:jc w:val="both"/>
        <w:rPr>
          <w:rFonts w:ascii="Arial" w:hAnsi="Arial" w:cs="Arial"/>
          <w:sz w:val="24"/>
        </w:rPr>
      </w:pPr>
      <w:r w:rsidRPr="00E55A08">
        <w:rPr>
          <w:rFonts w:ascii="Arial" w:hAnsi="Arial" w:cs="Arial"/>
          <w:sz w:val="24"/>
        </w:rPr>
        <w:t>En materia ambiental, La Constitución Política de Colombia de 1991 elevó a norma constitucional la consideración, manejo y conservación de los recursos naturales y el medio ambiente, a través de los siguientes principios fundamentales:</w:t>
      </w:r>
    </w:p>
    <w:p w:rsidR="00E55A08" w:rsidRDefault="00E55A08" w:rsidP="00E55A08">
      <w:pPr>
        <w:jc w:val="both"/>
        <w:rPr>
          <w:rFonts w:ascii="Arial" w:hAnsi="Arial" w:cs="Arial"/>
          <w:sz w:val="24"/>
        </w:rPr>
      </w:pPr>
      <w:r w:rsidRPr="00E55A08">
        <w:rPr>
          <w:rFonts w:ascii="Arial" w:hAnsi="Arial" w:cs="Arial"/>
          <w:sz w:val="24"/>
        </w:rPr>
        <w:t xml:space="preserve">El medio ambiente como patrimonio común: En el </w:t>
      </w:r>
      <w:r w:rsidRPr="00E55A08">
        <w:rPr>
          <w:rFonts w:ascii="Arial" w:hAnsi="Arial" w:cs="Arial"/>
          <w:b/>
          <w:sz w:val="24"/>
        </w:rPr>
        <w:t>artículo 8</w:t>
      </w:r>
      <w:r w:rsidRPr="00E55A08">
        <w:rPr>
          <w:rFonts w:ascii="Arial" w:hAnsi="Arial" w:cs="Arial"/>
          <w:sz w:val="24"/>
        </w:rPr>
        <w:t xml:space="preserve"> se incorpora dicho principio, al imponerle al Estado y a las personas la obligación de proteger las riquezas culturales y naturales, así como el deber de las personas y del ciudadano de proteger los recursos naturales y de velar por la conservación del ambiente</w:t>
      </w:r>
      <w:r>
        <w:rPr>
          <w:rFonts w:ascii="Arial" w:hAnsi="Arial" w:cs="Arial"/>
          <w:sz w:val="24"/>
        </w:rPr>
        <w:t>.</w:t>
      </w:r>
    </w:p>
    <w:p w:rsidR="007B5239" w:rsidRPr="00E55A08" w:rsidRDefault="007B5239" w:rsidP="007B5239">
      <w:pPr>
        <w:jc w:val="both"/>
        <w:rPr>
          <w:rFonts w:ascii="Arial" w:hAnsi="Arial" w:cs="Arial"/>
          <w:sz w:val="24"/>
        </w:rPr>
      </w:pPr>
      <w:r w:rsidRPr="00E55A08">
        <w:rPr>
          <w:rFonts w:ascii="Arial" w:hAnsi="Arial" w:cs="Arial"/>
          <w:sz w:val="24"/>
        </w:rPr>
        <w:t xml:space="preserve">Derecho a un Ambiente Sano: En el </w:t>
      </w:r>
      <w:r w:rsidRPr="00E55A08">
        <w:rPr>
          <w:rFonts w:ascii="Arial" w:hAnsi="Arial" w:cs="Arial"/>
          <w:b/>
          <w:sz w:val="24"/>
        </w:rPr>
        <w:t>artículo 79</w:t>
      </w:r>
      <w:r w:rsidRPr="00E55A08">
        <w:rPr>
          <w:rFonts w:ascii="Arial" w:hAnsi="Arial" w:cs="Arial"/>
          <w:sz w:val="24"/>
        </w:rPr>
        <w:t xml:space="preserve">, se consagra que: </w:t>
      </w:r>
      <w:r w:rsidRPr="00E55A08">
        <w:rPr>
          <w:rFonts w:ascii="Arial" w:hAnsi="Arial" w:cs="Arial"/>
          <w:i/>
          <w:sz w:val="24"/>
        </w:rPr>
        <w:t>¨Todas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rsidR="00E55A08" w:rsidRPr="00163548" w:rsidRDefault="007B5239" w:rsidP="007B5239">
      <w:pPr>
        <w:jc w:val="both"/>
        <w:rPr>
          <w:rFonts w:ascii="Arial" w:hAnsi="Arial" w:cs="Arial"/>
          <w:sz w:val="24"/>
          <w:szCs w:val="24"/>
        </w:rPr>
      </w:pPr>
      <w:r w:rsidRPr="00163548">
        <w:rPr>
          <w:rFonts w:ascii="Arial" w:hAnsi="Arial" w:cs="Arial"/>
          <w:sz w:val="24"/>
          <w:szCs w:val="24"/>
        </w:rPr>
        <w:t xml:space="preserve">Seguidamente en el </w:t>
      </w:r>
      <w:r w:rsidRPr="00163548">
        <w:rPr>
          <w:rFonts w:ascii="Arial" w:hAnsi="Arial" w:cs="Arial"/>
          <w:b/>
          <w:sz w:val="24"/>
          <w:szCs w:val="24"/>
        </w:rPr>
        <w:t>artículo 80</w:t>
      </w:r>
      <w:r w:rsidRPr="00163548">
        <w:rPr>
          <w:rFonts w:ascii="Arial" w:hAnsi="Arial" w:cs="Arial"/>
          <w:i/>
          <w:sz w:val="24"/>
          <w:szCs w:val="24"/>
        </w:rPr>
        <w:t xml:space="preserve">, </w:t>
      </w:r>
      <w:r w:rsidRPr="00163548">
        <w:rPr>
          <w:rFonts w:ascii="Arial" w:hAnsi="Arial" w:cs="Arial"/>
          <w:sz w:val="24"/>
          <w:szCs w:val="24"/>
        </w:rPr>
        <w:t xml:space="preserve">establece como deber del Estado la planificación del manejo y aprovechamiento de los recursos naturales, para garantizar su desarrollo sostenible, su conservación, restauración o sustitución. </w:t>
      </w:r>
      <w:r w:rsidR="00163548" w:rsidRPr="00163548">
        <w:rPr>
          <w:rFonts w:ascii="Arial" w:hAnsi="Arial" w:cs="Arial"/>
          <w:i/>
          <w:sz w:val="24"/>
          <w:szCs w:val="24"/>
        </w:rPr>
        <w:t>“Además, deberá prevenir y controlar los factores de deterioro ambiental, imponer las sanciones legales y exigir la reparación de los daños causados. Así mismo, cooperará con otras naciones en la protección de los ecosistemas situados en zonas fronterizas”.</w:t>
      </w:r>
      <w:r w:rsidR="00163548" w:rsidRPr="00163548">
        <w:rPr>
          <w:rFonts w:ascii="Arial" w:hAnsi="Arial" w:cs="Arial"/>
          <w:sz w:val="24"/>
          <w:szCs w:val="24"/>
        </w:rPr>
        <w:t xml:space="preserve"> Lo anterior implica asegurar que la satisfacción de las necesidades actuales se realice de una manera tal que no comprometa la capacidad y el derecho de las futuras generaciones para satisfacer las propias.</w:t>
      </w:r>
    </w:p>
    <w:p w:rsidR="007B5239" w:rsidRDefault="00111731" w:rsidP="007B5239">
      <w:pPr>
        <w:jc w:val="both"/>
        <w:rPr>
          <w:rFonts w:ascii="Arial" w:hAnsi="Arial" w:cs="Arial"/>
          <w:sz w:val="24"/>
        </w:rPr>
      </w:pPr>
      <w:r w:rsidRPr="00111731">
        <w:rPr>
          <w:rFonts w:ascii="Arial" w:hAnsi="Arial" w:cs="Arial"/>
          <w:sz w:val="24"/>
        </w:rPr>
        <w:t xml:space="preserve">En el </w:t>
      </w:r>
      <w:r w:rsidR="007B5239" w:rsidRPr="007B5239">
        <w:rPr>
          <w:rFonts w:ascii="Arial" w:hAnsi="Arial" w:cs="Arial"/>
          <w:b/>
          <w:sz w:val="24"/>
        </w:rPr>
        <w:t>artículo 95</w:t>
      </w:r>
      <w:r w:rsidR="00EE0CE7">
        <w:rPr>
          <w:rFonts w:ascii="Arial" w:hAnsi="Arial" w:cs="Arial"/>
          <w:b/>
          <w:sz w:val="24"/>
        </w:rPr>
        <w:t>,</w:t>
      </w:r>
      <w:r w:rsidR="00EE0CE7">
        <w:rPr>
          <w:rFonts w:ascii="Arial" w:hAnsi="Arial" w:cs="Arial"/>
          <w:sz w:val="24"/>
        </w:rPr>
        <w:t>les asigna a las personas, el deber de</w:t>
      </w:r>
      <w:r w:rsidR="007B5239" w:rsidRPr="007B5239">
        <w:rPr>
          <w:rFonts w:ascii="Arial" w:hAnsi="Arial" w:cs="Arial"/>
          <w:sz w:val="24"/>
        </w:rPr>
        <w:t xml:space="preserve"> la protección de los recursos culturales y naturales del país, y de velar por la conservación de un ambiente sano.</w:t>
      </w:r>
    </w:p>
    <w:p w:rsidR="00111731" w:rsidRDefault="00111731" w:rsidP="007B5239">
      <w:pPr>
        <w:jc w:val="both"/>
        <w:rPr>
          <w:rFonts w:ascii="Arial" w:hAnsi="Arial" w:cs="Arial"/>
          <w:sz w:val="24"/>
        </w:rPr>
      </w:pPr>
      <w:r>
        <w:rPr>
          <w:rFonts w:ascii="Arial" w:hAnsi="Arial" w:cs="Arial"/>
          <w:sz w:val="24"/>
        </w:rPr>
        <w:lastRenderedPageBreak/>
        <w:t xml:space="preserve">Finalmente en el </w:t>
      </w:r>
      <w:r w:rsidRPr="00111731">
        <w:rPr>
          <w:rFonts w:ascii="Arial" w:hAnsi="Arial" w:cs="Arial"/>
          <w:b/>
          <w:sz w:val="24"/>
        </w:rPr>
        <w:t>artículo 58,</w:t>
      </w:r>
      <w:r w:rsidR="00C975E4">
        <w:rPr>
          <w:rFonts w:ascii="Arial" w:hAnsi="Arial" w:cs="Arial"/>
          <w:sz w:val="24"/>
        </w:rPr>
        <w:t>sobre la “fu</w:t>
      </w:r>
      <w:r w:rsidR="00C975E4" w:rsidRPr="00C975E4">
        <w:rPr>
          <w:rFonts w:ascii="Arial" w:hAnsi="Arial" w:cs="Arial"/>
          <w:sz w:val="24"/>
        </w:rPr>
        <w:t>nción ecológica de la propiedad privada”,</w:t>
      </w:r>
      <w:r>
        <w:rPr>
          <w:rFonts w:ascii="Arial" w:hAnsi="Arial" w:cs="Arial"/>
          <w:sz w:val="24"/>
        </w:rPr>
        <w:t>determina</w:t>
      </w:r>
      <w:r w:rsidRPr="00C975E4">
        <w:rPr>
          <w:rFonts w:ascii="Arial" w:hAnsi="Arial" w:cs="Arial"/>
          <w:sz w:val="24"/>
        </w:rPr>
        <w:t xml:space="preserve"> que la propiedad es una función social que implica obligaciones y que, como tal, le es inherente una función ecológica.</w:t>
      </w:r>
    </w:p>
    <w:p w:rsidR="00543DEE" w:rsidRPr="007E3B76" w:rsidRDefault="00543DEE" w:rsidP="00543DEE">
      <w:pPr>
        <w:jc w:val="both"/>
        <w:rPr>
          <w:rFonts w:ascii="Arial" w:hAnsi="Arial" w:cs="Arial"/>
          <w:i/>
          <w:sz w:val="24"/>
        </w:rPr>
      </w:pPr>
      <w:r w:rsidRPr="007E3B76">
        <w:rPr>
          <w:rFonts w:ascii="Arial" w:hAnsi="Arial" w:cs="Arial"/>
          <w:i/>
          <w:sz w:val="24"/>
        </w:rPr>
        <w:t>Leyes, Decretos y Resoluciones:</w:t>
      </w:r>
    </w:p>
    <w:p w:rsidR="007F2CA9" w:rsidRDefault="007F2CA9" w:rsidP="007F2CA9">
      <w:pPr>
        <w:jc w:val="both"/>
        <w:rPr>
          <w:rFonts w:ascii="Arial" w:hAnsi="Arial" w:cs="Arial"/>
          <w:sz w:val="24"/>
          <w:szCs w:val="24"/>
        </w:rPr>
      </w:pPr>
      <w:r w:rsidRPr="003F6B48">
        <w:rPr>
          <w:rFonts w:ascii="Arial" w:hAnsi="Arial" w:cs="Arial"/>
          <w:b/>
          <w:sz w:val="24"/>
          <w:szCs w:val="24"/>
        </w:rPr>
        <w:t xml:space="preserve">Decreto ley 2811 de 1974: </w:t>
      </w:r>
      <w:r w:rsidRPr="003F6B48">
        <w:rPr>
          <w:rFonts w:ascii="Arial" w:hAnsi="Arial" w:cs="Arial"/>
          <w:sz w:val="24"/>
          <w:szCs w:val="24"/>
        </w:rPr>
        <w:t>Código nacional de los recursos naturales renovables RNR y no renovables y de protección al medio ambiente. El ambiente es patrimonio común, el estado y los particulares deben participar en su preservación y manejo. Regula el manejo de l</w:t>
      </w:r>
      <w:r>
        <w:rPr>
          <w:rFonts w:ascii="Arial" w:hAnsi="Arial" w:cs="Arial"/>
          <w:sz w:val="24"/>
          <w:szCs w:val="24"/>
        </w:rPr>
        <w:t>os RNR</w:t>
      </w:r>
      <w:r w:rsidRPr="003F6B48">
        <w:rPr>
          <w:rFonts w:ascii="Arial" w:hAnsi="Arial" w:cs="Arial"/>
          <w:sz w:val="24"/>
          <w:szCs w:val="24"/>
        </w:rPr>
        <w:t>, la defensa del ambiente y sus elementos.</w:t>
      </w:r>
    </w:p>
    <w:p w:rsidR="007F2CA9" w:rsidRDefault="007F2CA9" w:rsidP="007F2CA9">
      <w:pPr>
        <w:jc w:val="both"/>
        <w:rPr>
          <w:rFonts w:ascii="Arial" w:hAnsi="Arial" w:cs="Arial"/>
          <w:sz w:val="24"/>
          <w:szCs w:val="24"/>
        </w:rPr>
      </w:pPr>
      <w:r w:rsidRPr="003F6B48">
        <w:rPr>
          <w:rFonts w:ascii="Arial" w:hAnsi="Arial" w:cs="Arial"/>
          <w:b/>
          <w:sz w:val="24"/>
          <w:szCs w:val="24"/>
        </w:rPr>
        <w:t xml:space="preserve">Ley 23 de 1973: </w:t>
      </w:r>
      <w:r w:rsidRPr="003F6B48">
        <w:rPr>
          <w:rFonts w:ascii="Arial" w:hAnsi="Arial" w:cs="Arial"/>
          <w:sz w:val="24"/>
          <w:szCs w:val="24"/>
        </w:rPr>
        <w:t>Principios fundamentales sobre prevención y control de la contaminación del aire, agua y suelo y otorgó facultades al Presidente de la República para expedir el Código de los Recursos Naturales</w:t>
      </w:r>
      <w:r>
        <w:rPr>
          <w:rFonts w:ascii="Arial" w:hAnsi="Arial" w:cs="Arial"/>
          <w:sz w:val="24"/>
          <w:szCs w:val="24"/>
        </w:rPr>
        <w:t>.</w:t>
      </w:r>
    </w:p>
    <w:p w:rsidR="007F2CA9" w:rsidRDefault="007F2CA9" w:rsidP="007F2CA9">
      <w:pPr>
        <w:jc w:val="both"/>
        <w:rPr>
          <w:rFonts w:ascii="Arial" w:hAnsi="Arial" w:cs="Arial"/>
          <w:sz w:val="24"/>
          <w:szCs w:val="24"/>
        </w:rPr>
      </w:pPr>
      <w:r w:rsidRPr="003F6B48">
        <w:rPr>
          <w:rFonts w:ascii="Arial" w:hAnsi="Arial" w:cs="Arial"/>
          <w:b/>
          <w:sz w:val="24"/>
          <w:szCs w:val="24"/>
        </w:rPr>
        <w:t xml:space="preserve">Ley 99 de 1993: </w:t>
      </w:r>
      <w:r w:rsidRPr="00A53ACD">
        <w:rPr>
          <w:rFonts w:ascii="Arial" w:hAnsi="Arial" w:cs="Arial"/>
          <w:sz w:val="24"/>
          <w:szCs w:val="24"/>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p w:rsidR="007F2CA9" w:rsidRDefault="007F2CA9" w:rsidP="007F2CA9">
      <w:pPr>
        <w:jc w:val="both"/>
        <w:rPr>
          <w:rFonts w:ascii="Arial" w:hAnsi="Arial" w:cs="Arial"/>
          <w:sz w:val="24"/>
          <w:szCs w:val="24"/>
        </w:rPr>
      </w:pPr>
      <w:r>
        <w:rPr>
          <w:rFonts w:ascii="Arial" w:hAnsi="Arial" w:cs="Arial"/>
          <w:b/>
          <w:sz w:val="24"/>
          <w:szCs w:val="24"/>
        </w:rPr>
        <w:t xml:space="preserve">Ley 491 de 1999: </w:t>
      </w:r>
      <w:r w:rsidRPr="005010D0">
        <w:rPr>
          <w:rFonts w:ascii="Arial" w:hAnsi="Arial" w:cs="Arial"/>
          <w:sz w:val="24"/>
          <w:szCs w:val="24"/>
        </w:rPr>
        <w:t>Define el seguro ecológico y delitos contra los recursos naturales y el ambiente y se modifica el Código Penal</w:t>
      </w:r>
      <w:r>
        <w:rPr>
          <w:rFonts w:ascii="Arial" w:hAnsi="Arial" w:cs="Arial"/>
          <w:sz w:val="24"/>
          <w:szCs w:val="24"/>
        </w:rPr>
        <w:t>.</w:t>
      </w:r>
    </w:p>
    <w:p w:rsidR="00051E63" w:rsidRDefault="00051E63" w:rsidP="007F2CA9">
      <w:pPr>
        <w:jc w:val="both"/>
        <w:rPr>
          <w:rFonts w:ascii="Arial" w:hAnsi="Arial" w:cs="Arial"/>
          <w:sz w:val="24"/>
          <w:szCs w:val="24"/>
          <w:lang w:val="es-CO"/>
        </w:rPr>
      </w:pPr>
      <w:r>
        <w:rPr>
          <w:rFonts w:ascii="Arial" w:hAnsi="Arial" w:cs="Arial"/>
          <w:b/>
          <w:sz w:val="24"/>
          <w:szCs w:val="24"/>
          <w:lang w:val="es-CO"/>
        </w:rPr>
        <w:t xml:space="preserve">Ley 1450 de 2011: </w:t>
      </w:r>
      <w:r w:rsidRPr="004C0BDB">
        <w:rPr>
          <w:rFonts w:ascii="Arial" w:hAnsi="Arial" w:cs="Arial"/>
          <w:sz w:val="24"/>
          <w:szCs w:val="24"/>
          <w:lang w:val="es-CO"/>
        </w:rPr>
        <w:t xml:space="preserve">Plan Nacional de Desarrollo </w:t>
      </w:r>
      <w:r>
        <w:rPr>
          <w:rFonts w:ascii="Arial" w:hAnsi="Arial" w:cs="Arial"/>
          <w:sz w:val="24"/>
          <w:szCs w:val="24"/>
          <w:lang w:val="es-CO"/>
        </w:rPr>
        <w:t>2010 – 2014. Establece en el marco de la Gestión Integral del Recursos Hídrico, para prevenir la contaminación, y mejorar la calidad del agua que se deberá:</w:t>
      </w:r>
    </w:p>
    <w:p w:rsidR="00051E63" w:rsidRDefault="00051E63" w:rsidP="007F2CA9">
      <w:pPr>
        <w:jc w:val="both"/>
        <w:rPr>
          <w:rFonts w:ascii="Arial" w:hAnsi="Arial" w:cs="Arial"/>
          <w:sz w:val="24"/>
          <w:szCs w:val="24"/>
          <w:lang w:val="es-CO"/>
        </w:rPr>
      </w:pPr>
      <w:r>
        <w:rPr>
          <w:rFonts w:ascii="Arial" w:hAnsi="Arial" w:cs="Arial"/>
          <w:sz w:val="24"/>
          <w:szCs w:val="24"/>
          <w:lang w:val="es-CO"/>
        </w:rPr>
        <w:t xml:space="preserve">1) revisar y armonizar las normas relacionadas con vertimientos y los instrumentos para el control de la contaminación hídrica y; </w:t>
      </w:r>
    </w:p>
    <w:p w:rsidR="00051E63" w:rsidRDefault="00051E63" w:rsidP="007F2CA9">
      <w:pPr>
        <w:jc w:val="both"/>
        <w:rPr>
          <w:rFonts w:ascii="Arial" w:hAnsi="Arial" w:cs="Arial"/>
          <w:sz w:val="24"/>
          <w:szCs w:val="24"/>
        </w:rPr>
      </w:pPr>
      <w:r>
        <w:rPr>
          <w:rFonts w:ascii="Arial" w:hAnsi="Arial" w:cs="Arial"/>
          <w:sz w:val="24"/>
          <w:szCs w:val="24"/>
          <w:lang w:val="es-CO"/>
        </w:rPr>
        <w:t>2) fortalecer los programas para la descontaminación y control de la contaminación de los cuerpos de agua prioritarios, a partir de criterios beneficio – costo.</w:t>
      </w:r>
    </w:p>
    <w:p w:rsidR="001F22ED" w:rsidRDefault="001F22ED" w:rsidP="008774F6">
      <w:pPr>
        <w:spacing w:after="0"/>
        <w:jc w:val="center"/>
        <w:rPr>
          <w:rFonts w:ascii="Arial" w:hAnsi="Arial" w:cs="Arial"/>
          <w:b/>
          <w:sz w:val="24"/>
        </w:rPr>
      </w:pPr>
    </w:p>
    <w:p w:rsidR="008774F6" w:rsidRDefault="008774F6" w:rsidP="008774F6">
      <w:pPr>
        <w:spacing w:after="0"/>
        <w:jc w:val="center"/>
        <w:rPr>
          <w:rFonts w:ascii="Arial" w:hAnsi="Arial" w:cs="Arial"/>
          <w:b/>
          <w:sz w:val="24"/>
        </w:rPr>
      </w:pPr>
      <w:r>
        <w:rPr>
          <w:rFonts w:ascii="Arial" w:hAnsi="Arial" w:cs="Arial"/>
          <w:b/>
          <w:sz w:val="24"/>
        </w:rPr>
        <w:lastRenderedPageBreak/>
        <w:t>Normatividad Sobre Residuos Sólidos</w:t>
      </w:r>
    </w:p>
    <w:tbl>
      <w:tblPr>
        <w:tblW w:w="7560" w:type="dxa"/>
        <w:jc w:val="center"/>
        <w:tblInd w:w="55" w:type="dxa"/>
        <w:tblCellMar>
          <w:left w:w="70" w:type="dxa"/>
          <w:right w:w="70" w:type="dxa"/>
        </w:tblCellMar>
        <w:tblLook w:val="04A0"/>
      </w:tblPr>
      <w:tblGrid>
        <w:gridCol w:w="1678"/>
        <w:gridCol w:w="5882"/>
      </w:tblGrid>
      <w:tr w:rsidR="00BE5E19" w:rsidRPr="00BE5E19" w:rsidTr="00BE5E19">
        <w:trPr>
          <w:trHeight w:val="510"/>
          <w:jc w:val="center"/>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Ley 09 de 1979</w:t>
            </w:r>
          </w:p>
        </w:tc>
        <w:tc>
          <w:tcPr>
            <w:tcW w:w="5882" w:type="dxa"/>
            <w:tcBorders>
              <w:top w:val="single" w:sz="4" w:space="0" w:color="000000"/>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 xml:space="preserve">Medidas sanitarias sobre manejo de residuos sólidos </w:t>
            </w:r>
          </w:p>
        </w:tc>
      </w:tr>
      <w:tr w:rsidR="00BE5E19" w:rsidRPr="00BE5E19" w:rsidTr="00BE5E19">
        <w:trPr>
          <w:trHeight w:val="765"/>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Resolución 2309 de 1986</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Define los residuos especiales, los criterios de identificación, tratamiento y registro. Establece planes de cumplimiento vigilancia y seguridad.</w:t>
            </w:r>
          </w:p>
        </w:tc>
      </w:tr>
      <w:tr w:rsidR="00BE5E19" w:rsidRPr="00BE5E19" w:rsidTr="00BE5E19">
        <w:trPr>
          <w:trHeight w:val="102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Resolución 541 de 1994</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Reglamenta el cargue, descargue, transporte, almacenamiento y disposición final de escombros, materiales concreto y agregados sueltos de construcción.</w:t>
            </w:r>
          </w:p>
        </w:tc>
      </w:tr>
      <w:tr w:rsidR="00BE5E19" w:rsidRPr="00BE5E19" w:rsidTr="00BE5E19">
        <w:trPr>
          <w:trHeight w:val="51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Ley 142 de 1994</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Dicta el régimen de servicios públicos domiciliarios</w:t>
            </w:r>
          </w:p>
        </w:tc>
      </w:tr>
      <w:tr w:rsidR="00BE5E19" w:rsidRPr="00BE5E19" w:rsidTr="00BE5E19">
        <w:trPr>
          <w:trHeight w:val="765"/>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Documento CONPES 2750 de 1994</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 xml:space="preserve">Políticas sobre manejo de residuos sólidos </w:t>
            </w:r>
          </w:p>
        </w:tc>
      </w:tr>
      <w:tr w:rsidR="00BE5E19" w:rsidRPr="00BE5E19" w:rsidTr="00BE5E19">
        <w:trPr>
          <w:trHeight w:val="51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Resolución 0189 de 1994</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Regulación para impedir la introducción al territorio nacional de residuos peligrosos.</w:t>
            </w:r>
          </w:p>
        </w:tc>
      </w:tr>
      <w:tr w:rsidR="00BE5E19" w:rsidRPr="00BE5E19" w:rsidTr="00BE5E19">
        <w:trPr>
          <w:trHeight w:val="51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Decreto 605 de 1996</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Reglamenta la ley 142 de 1994. En cuanto al manejo, transporte y disposición final de residuos sólidos</w:t>
            </w:r>
          </w:p>
        </w:tc>
      </w:tr>
      <w:tr w:rsidR="00BE5E19" w:rsidRPr="00BE5E19" w:rsidTr="00BE5E19">
        <w:trPr>
          <w:trHeight w:val="765"/>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Ley 430 de 1998</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Por la cual se dictan normas prohibitivas en materia ambiental referentes a los desechos peligrosos y se dictan otras disposiciones.</w:t>
            </w:r>
          </w:p>
        </w:tc>
      </w:tr>
      <w:tr w:rsidR="00BE5E19" w:rsidRPr="00BE5E19" w:rsidTr="00BE5E19">
        <w:trPr>
          <w:trHeight w:val="102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Decreto Reglamentario 2462 de 1989</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Reglamenta los procedimientos sobre explotación de materiales de construcción.</w:t>
            </w:r>
          </w:p>
        </w:tc>
      </w:tr>
      <w:tr w:rsidR="00BE5E19" w:rsidRPr="00BE5E19" w:rsidTr="00BE5E19">
        <w:trPr>
          <w:trHeight w:val="510"/>
          <w:jc w:val="center"/>
        </w:trPr>
        <w:tc>
          <w:tcPr>
            <w:tcW w:w="1678" w:type="dxa"/>
            <w:tcBorders>
              <w:top w:val="nil"/>
              <w:left w:val="single" w:sz="4" w:space="0" w:color="000000"/>
              <w:bottom w:val="single" w:sz="4" w:space="0" w:color="000000"/>
              <w:right w:val="single" w:sz="4" w:space="0" w:color="000000"/>
            </w:tcBorders>
            <w:shd w:val="clear" w:color="auto" w:fill="auto"/>
            <w:vAlign w:val="center"/>
            <w:hideMark/>
          </w:tcPr>
          <w:p w:rsidR="00BE5E19" w:rsidRPr="00BE5E19" w:rsidRDefault="00BE5E19" w:rsidP="008774F6">
            <w:pPr>
              <w:spacing w:after="0" w:line="240" w:lineRule="auto"/>
              <w:jc w:val="both"/>
              <w:rPr>
                <w:rFonts w:ascii="Arial" w:eastAsia="Times New Roman" w:hAnsi="Arial" w:cs="Arial"/>
                <w:b/>
                <w:bCs/>
                <w:color w:val="000000"/>
                <w:lang w:eastAsia="es-ES"/>
              </w:rPr>
            </w:pPr>
            <w:r w:rsidRPr="00BE5E19">
              <w:rPr>
                <w:rFonts w:ascii="Arial" w:eastAsia="Times New Roman" w:hAnsi="Arial" w:cs="Arial"/>
                <w:b/>
                <w:bCs/>
                <w:color w:val="000000"/>
                <w:lang w:eastAsia="es-ES"/>
              </w:rPr>
              <w:t>Resolución 0189 de 1994</w:t>
            </w:r>
          </w:p>
        </w:tc>
        <w:tc>
          <w:tcPr>
            <w:tcW w:w="5882" w:type="dxa"/>
            <w:tcBorders>
              <w:top w:val="nil"/>
              <w:left w:val="nil"/>
              <w:bottom w:val="single" w:sz="4" w:space="0" w:color="000000"/>
              <w:right w:val="single" w:sz="4" w:space="0" w:color="000000"/>
            </w:tcBorders>
            <w:shd w:val="clear" w:color="auto" w:fill="auto"/>
            <w:hideMark/>
          </w:tcPr>
          <w:p w:rsidR="00BE5E19" w:rsidRPr="00BE5E19" w:rsidRDefault="00BE5E19" w:rsidP="008774F6">
            <w:pPr>
              <w:spacing w:after="0" w:line="240" w:lineRule="auto"/>
              <w:jc w:val="both"/>
              <w:rPr>
                <w:rFonts w:ascii="Arial" w:eastAsia="Times New Roman" w:hAnsi="Arial" w:cs="Arial"/>
                <w:color w:val="000000"/>
                <w:lang w:eastAsia="es-ES"/>
              </w:rPr>
            </w:pPr>
            <w:r w:rsidRPr="00BE5E19">
              <w:rPr>
                <w:rFonts w:ascii="Arial" w:eastAsia="Times New Roman" w:hAnsi="Arial" w:cs="Arial"/>
                <w:color w:val="000000"/>
                <w:lang w:eastAsia="es-ES"/>
              </w:rPr>
              <w:t>Regulación para impedir la entrada de residuos peligrosos al territorio nacional.</w:t>
            </w:r>
          </w:p>
        </w:tc>
      </w:tr>
    </w:tbl>
    <w:p w:rsidR="00BE5E19" w:rsidRDefault="00BE5E19" w:rsidP="001D6C33">
      <w:pPr>
        <w:jc w:val="both"/>
        <w:rPr>
          <w:rFonts w:ascii="Arial" w:hAnsi="Arial" w:cs="Arial"/>
          <w:b/>
          <w:sz w:val="24"/>
        </w:rPr>
      </w:pPr>
    </w:p>
    <w:p w:rsidR="008774F6" w:rsidRDefault="008774F6" w:rsidP="008774F6">
      <w:pPr>
        <w:spacing w:after="0"/>
        <w:jc w:val="center"/>
        <w:rPr>
          <w:rFonts w:ascii="Arial" w:hAnsi="Arial" w:cs="Arial"/>
          <w:b/>
          <w:sz w:val="24"/>
        </w:rPr>
      </w:pPr>
      <w:r>
        <w:rPr>
          <w:rFonts w:ascii="Arial" w:hAnsi="Arial" w:cs="Arial"/>
          <w:b/>
          <w:sz w:val="24"/>
        </w:rPr>
        <w:t>Normatividad sobre el Recursos Hídrico</w:t>
      </w:r>
    </w:p>
    <w:tbl>
      <w:tblPr>
        <w:tblW w:w="7560" w:type="dxa"/>
        <w:jc w:val="center"/>
        <w:tblInd w:w="55" w:type="dxa"/>
        <w:tblCellMar>
          <w:left w:w="70" w:type="dxa"/>
          <w:right w:w="70" w:type="dxa"/>
        </w:tblCellMar>
        <w:tblLook w:val="04A0"/>
      </w:tblPr>
      <w:tblGrid>
        <w:gridCol w:w="1600"/>
        <w:gridCol w:w="5960"/>
      </w:tblGrid>
      <w:tr w:rsidR="008774F6" w:rsidRPr="008774F6" w:rsidTr="008774F6">
        <w:trPr>
          <w:trHeight w:val="510"/>
          <w:jc w:val="center"/>
        </w:trPr>
        <w:tc>
          <w:tcPr>
            <w:tcW w:w="16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2811 de 1974, libro II parte III</w:t>
            </w:r>
          </w:p>
        </w:tc>
        <w:tc>
          <w:tcPr>
            <w:tcW w:w="5960" w:type="dxa"/>
            <w:tcBorders>
              <w:top w:val="single" w:sz="4" w:space="0" w:color="000000"/>
              <w:left w:val="single" w:sz="4" w:space="0" w:color="000000"/>
              <w:bottom w:val="nil"/>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Artículo 99: Establece la obligatoriedad de tramitar el respectivo permiso de explotación de material de arrastre</w:t>
            </w:r>
          </w:p>
        </w:tc>
      </w:tr>
      <w:tr w:rsidR="008774F6" w:rsidRPr="008774F6" w:rsidTr="008774F6">
        <w:trPr>
          <w:trHeight w:val="1275"/>
          <w:jc w:val="center"/>
        </w:trPr>
        <w:tc>
          <w:tcPr>
            <w:tcW w:w="1600" w:type="dxa"/>
            <w:vMerge/>
            <w:tcBorders>
              <w:top w:val="single" w:sz="4" w:space="0" w:color="000000"/>
              <w:left w:val="single" w:sz="4" w:space="0" w:color="000000"/>
              <w:bottom w:val="single" w:sz="4" w:space="0" w:color="000000"/>
              <w:right w:val="single" w:sz="4" w:space="0" w:color="000000"/>
            </w:tcBorders>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p>
        </w:tc>
        <w:tc>
          <w:tcPr>
            <w:tcW w:w="5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Art. 77 a 78 Clasificación de aguas. Art. 80 a 85: Dominio de las aguas y cauces. Art. 86 a 89: Derecho a uso del agua. Art.134 a 138: Prevención y control de contaminación. Art. 149: aguas subterráneas. Art.155: Administración de aguas y cauces.</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 xml:space="preserve">Decreto 1449 de 1977 </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Disposiciones sobre conservación y protección de aguas, bosques, fauna terrestre y acuática</w:t>
            </w:r>
          </w:p>
        </w:tc>
      </w:tr>
      <w:tr w:rsidR="008774F6" w:rsidRPr="008774F6" w:rsidTr="008774F6">
        <w:trPr>
          <w:trHeight w:val="255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lastRenderedPageBreak/>
              <w:t>Decreto 1541 de 1978</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Aguas continentales: Art. 44 a 53 Características de las concesiones, Art. 54 a 66 Procedimientos para otorgar concesiones de agua superficiales y subterráneas, Art. 87 a 97: Explotación de material de arrastre, Art. 104 a 106: Ocupación de cauces y permiso de ocupación de cauces, Art. 211 a 219: Control de vertimientos, Art. 220 a 224: Vertimiento por uso doméstico y municipal, Art. 225: Vertimiento por uso agrícola, Art. 226 a 230: Vertimiento por uso industrial, Art. 231: Reglamentación de vertimientos.</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1681 de 1978</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Sobre recursos hidrobiológicos</w:t>
            </w:r>
          </w:p>
        </w:tc>
      </w:tr>
      <w:tr w:rsidR="008774F6" w:rsidRPr="008774F6" w:rsidTr="008774F6">
        <w:trPr>
          <w:trHeight w:val="1020"/>
          <w:jc w:val="center"/>
        </w:trPr>
        <w:tc>
          <w:tcPr>
            <w:tcW w:w="1600" w:type="dxa"/>
            <w:tcBorders>
              <w:top w:val="nil"/>
              <w:left w:val="single" w:sz="4" w:space="0" w:color="000000"/>
              <w:bottom w:val="nil"/>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 xml:space="preserve">Ley 09 de 1979 Código sanitario nacional </w:t>
            </w:r>
          </w:p>
        </w:tc>
        <w:tc>
          <w:tcPr>
            <w:tcW w:w="5960" w:type="dxa"/>
            <w:tcBorders>
              <w:top w:val="nil"/>
              <w:left w:val="nil"/>
              <w:bottom w:val="nil"/>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Art. 51 a 54: Control y prevención de las aguas para consumo humano. Art. 55 aguas superficiales. Art. 69 a 79: potabilización de agua</w:t>
            </w:r>
          </w:p>
        </w:tc>
      </w:tr>
      <w:tr w:rsidR="008774F6" w:rsidRPr="008774F6" w:rsidTr="008774F6">
        <w:trPr>
          <w:trHeight w:val="510"/>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 xml:space="preserve">Decreto 2857 de 1981 </w:t>
            </w:r>
          </w:p>
        </w:tc>
        <w:tc>
          <w:tcPr>
            <w:tcW w:w="5960" w:type="dxa"/>
            <w:tcBorders>
              <w:top w:val="single" w:sz="4" w:space="0" w:color="000000"/>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Ordenación y protección de cuencas hidrográficas</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2858 de 1981</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Modifica el Decreto 1541 de 1978</w:t>
            </w:r>
          </w:p>
        </w:tc>
      </w:tr>
      <w:tr w:rsidR="008774F6" w:rsidRPr="008774F6" w:rsidTr="008774F6">
        <w:trPr>
          <w:trHeight w:val="765"/>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2105 de 1983</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Reglamenta parcialmente la Ley 09 de a 1979 sobre potabilización y suministro de agua para consumo humano</w:t>
            </w:r>
          </w:p>
        </w:tc>
      </w:tr>
      <w:tr w:rsidR="008774F6" w:rsidRPr="008774F6" w:rsidTr="008774F6">
        <w:trPr>
          <w:trHeight w:val="1530"/>
          <w:jc w:val="center"/>
        </w:trPr>
        <w:tc>
          <w:tcPr>
            <w:tcW w:w="1600" w:type="dxa"/>
            <w:tcBorders>
              <w:top w:val="nil"/>
              <w:left w:val="single" w:sz="4" w:space="0" w:color="000000"/>
              <w:bottom w:val="nil"/>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 xml:space="preserve">Decreto 1594 de 1984 Normas de vertimientos de residuos líquidos </w:t>
            </w:r>
          </w:p>
        </w:tc>
        <w:tc>
          <w:tcPr>
            <w:tcW w:w="5960" w:type="dxa"/>
            <w:tcBorders>
              <w:top w:val="nil"/>
              <w:left w:val="nil"/>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 xml:space="preserve">Art. 1 a 21 Definiciones. Art. 22-23 Ordenamiento del recurso agua. Art. 29 Usos del agua. Art. 37 a 50 Criterios de calidad de agua Art. 60 a 71 Vertimiento de residuos líquidos. Art. 72 a 97 Normas de vertimientos. Art. 142 Tasas retributivas. Art. 155 procedimiento para toma y análisis de muestras </w:t>
            </w:r>
          </w:p>
        </w:tc>
      </w:tr>
      <w:tr w:rsidR="008774F6" w:rsidRPr="008774F6" w:rsidTr="008774F6">
        <w:trPr>
          <w:trHeight w:val="510"/>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79 de 1986</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Conservación y protección del recurso agua</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Ley 99 de 1993</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 xml:space="preserve">Art. 10, 11,24,29: Prevención y control de contaminación de las aguas. Tasas retributivas. </w:t>
            </w:r>
          </w:p>
        </w:tc>
      </w:tr>
      <w:tr w:rsidR="008774F6" w:rsidRPr="008774F6" w:rsidTr="008774F6">
        <w:trPr>
          <w:trHeight w:val="765"/>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Documento CONPES 1750 de 1995</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Políticas de maneo de las aguas</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605 de 1996</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Reglamenta los procedimientos de potabilización y suministro de agua para consumo humano</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901 de 1997</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Tasas retributivas por vertimientos líquidos puntuales a cuerpos de agua</w:t>
            </w:r>
          </w:p>
        </w:tc>
      </w:tr>
      <w:tr w:rsidR="008774F6" w:rsidRPr="008774F6" w:rsidTr="008774F6">
        <w:trPr>
          <w:trHeight w:val="510"/>
          <w:jc w:val="center"/>
        </w:trPr>
        <w:tc>
          <w:tcPr>
            <w:tcW w:w="1600" w:type="dxa"/>
            <w:tcBorders>
              <w:top w:val="nil"/>
              <w:left w:val="single" w:sz="4" w:space="0" w:color="000000"/>
              <w:bottom w:val="single" w:sz="4" w:space="0" w:color="000000"/>
              <w:right w:val="single" w:sz="4" w:space="0" w:color="000000"/>
            </w:tcBorders>
            <w:shd w:val="clear" w:color="auto" w:fill="auto"/>
            <w:vAlign w:val="center"/>
            <w:hideMark/>
          </w:tcPr>
          <w:p w:rsidR="008774F6" w:rsidRPr="008774F6" w:rsidRDefault="008774F6" w:rsidP="008774F6">
            <w:pPr>
              <w:spacing w:after="0" w:line="240" w:lineRule="auto"/>
              <w:rPr>
                <w:rFonts w:ascii="Arial" w:eastAsia="Times New Roman" w:hAnsi="Arial" w:cs="Arial"/>
                <w:b/>
                <w:bCs/>
                <w:color w:val="000000"/>
                <w:lang w:eastAsia="es-ES"/>
              </w:rPr>
            </w:pPr>
            <w:r w:rsidRPr="008774F6">
              <w:rPr>
                <w:rFonts w:ascii="Arial" w:eastAsia="Times New Roman" w:hAnsi="Arial" w:cs="Arial"/>
                <w:b/>
                <w:bCs/>
                <w:color w:val="000000"/>
                <w:lang w:eastAsia="es-ES"/>
              </w:rPr>
              <w:t>Decreto 475 de 1998</w:t>
            </w:r>
          </w:p>
        </w:tc>
        <w:tc>
          <w:tcPr>
            <w:tcW w:w="5960" w:type="dxa"/>
            <w:tcBorders>
              <w:top w:val="nil"/>
              <w:left w:val="nil"/>
              <w:bottom w:val="single" w:sz="4" w:space="0" w:color="000000"/>
              <w:right w:val="single" w:sz="4" w:space="0" w:color="000000"/>
            </w:tcBorders>
            <w:shd w:val="clear" w:color="auto" w:fill="auto"/>
            <w:hideMark/>
          </w:tcPr>
          <w:p w:rsidR="008774F6" w:rsidRPr="008774F6" w:rsidRDefault="008774F6" w:rsidP="008774F6">
            <w:pPr>
              <w:spacing w:after="0" w:line="240" w:lineRule="auto"/>
              <w:rPr>
                <w:rFonts w:ascii="Arial" w:eastAsia="Times New Roman" w:hAnsi="Arial" w:cs="Arial"/>
                <w:color w:val="000000"/>
                <w:lang w:eastAsia="es-ES"/>
              </w:rPr>
            </w:pPr>
            <w:r w:rsidRPr="008774F6">
              <w:rPr>
                <w:rFonts w:ascii="Arial" w:eastAsia="Times New Roman" w:hAnsi="Arial" w:cs="Arial"/>
                <w:color w:val="000000"/>
                <w:lang w:eastAsia="es-ES"/>
              </w:rPr>
              <w:t>Algunas normas técnicas de calidad de agua</w:t>
            </w:r>
          </w:p>
        </w:tc>
      </w:tr>
    </w:tbl>
    <w:p w:rsidR="008774F6" w:rsidRDefault="008774F6" w:rsidP="008774F6">
      <w:pPr>
        <w:jc w:val="center"/>
        <w:rPr>
          <w:rFonts w:ascii="Arial" w:hAnsi="Arial" w:cs="Arial"/>
          <w:b/>
          <w:sz w:val="24"/>
        </w:rPr>
      </w:pPr>
    </w:p>
    <w:p w:rsidR="00F35996" w:rsidRPr="00F35996" w:rsidRDefault="00F35996" w:rsidP="00F35996">
      <w:pPr>
        <w:jc w:val="both"/>
        <w:rPr>
          <w:rFonts w:ascii="Arial" w:hAnsi="Arial" w:cs="Arial"/>
          <w:sz w:val="24"/>
        </w:rPr>
      </w:pPr>
      <w:r>
        <w:rPr>
          <w:rFonts w:ascii="Arial" w:hAnsi="Arial" w:cs="Arial"/>
          <w:b/>
          <w:sz w:val="24"/>
        </w:rPr>
        <w:t xml:space="preserve">Decreto 2820 de 2000. </w:t>
      </w:r>
      <w:r w:rsidRPr="00F35996">
        <w:rPr>
          <w:rFonts w:ascii="Arial" w:hAnsi="Arial" w:cs="Arial"/>
          <w:sz w:val="24"/>
        </w:rPr>
        <w:t>Por el cual se reglamenta el Titulo VIII de la Ley 99 de 19</w:t>
      </w:r>
      <w:r>
        <w:rPr>
          <w:rFonts w:ascii="Arial" w:hAnsi="Arial" w:cs="Arial"/>
          <w:sz w:val="24"/>
        </w:rPr>
        <w:t>93 sobre licencias ambientales</w:t>
      </w:r>
    </w:p>
    <w:p w:rsidR="00F35996" w:rsidRPr="00F35996" w:rsidRDefault="00F35996" w:rsidP="00F35996">
      <w:pPr>
        <w:jc w:val="both"/>
        <w:rPr>
          <w:rFonts w:ascii="Arial" w:hAnsi="Arial" w:cs="Arial"/>
          <w:b/>
          <w:sz w:val="24"/>
        </w:rPr>
      </w:pPr>
      <w:r w:rsidRPr="00F35996">
        <w:rPr>
          <w:rFonts w:ascii="Arial" w:hAnsi="Arial" w:cs="Arial"/>
          <w:b/>
          <w:sz w:val="24"/>
        </w:rPr>
        <w:lastRenderedPageBreak/>
        <w:t>Decreto 2676 de 2010</w:t>
      </w:r>
      <w:r>
        <w:rPr>
          <w:rFonts w:ascii="Arial" w:hAnsi="Arial" w:cs="Arial"/>
          <w:b/>
          <w:sz w:val="24"/>
        </w:rPr>
        <w:t xml:space="preserve">. </w:t>
      </w:r>
      <w:r w:rsidRPr="00F35996">
        <w:rPr>
          <w:rFonts w:ascii="Arial" w:hAnsi="Arial" w:cs="Arial"/>
          <w:sz w:val="24"/>
        </w:rPr>
        <w:t>Por el cual se reglamenta la gestión integral de los residuos hospitalarios y similares.</w:t>
      </w:r>
    </w:p>
    <w:p w:rsidR="00F35996" w:rsidRPr="00F35996" w:rsidRDefault="00F35996" w:rsidP="00F35996">
      <w:pPr>
        <w:jc w:val="both"/>
        <w:rPr>
          <w:rFonts w:ascii="Arial" w:hAnsi="Arial" w:cs="Arial"/>
          <w:sz w:val="24"/>
        </w:rPr>
      </w:pPr>
      <w:r w:rsidRPr="00F35996">
        <w:rPr>
          <w:rFonts w:ascii="Arial" w:hAnsi="Arial" w:cs="Arial"/>
          <w:b/>
          <w:sz w:val="24"/>
        </w:rPr>
        <w:t>Resolución N° 1447 de 2009</w:t>
      </w:r>
      <w:r>
        <w:rPr>
          <w:rFonts w:ascii="Arial" w:hAnsi="Arial" w:cs="Arial"/>
          <w:b/>
          <w:sz w:val="24"/>
        </w:rPr>
        <w:t xml:space="preserve">. </w:t>
      </w:r>
      <w:r w:rsidRPr="00F35996">
        <w:rPr>
          <w:rFonts w:ascii="Arial" w:hAnsi="Arial" w:cs="Arial"/>
          <w:sz w:val="24"/>
        </w:rPr>
        <w:t>Por la cual se reglamenta la prestación de los servicios de cementerios, inhumación, exhumación y cremación de cadáveres</w:t>
      </w:r>
      <w:r>
        <w:rPr>
          <w:rFonts w:ascii="Arial" w:hAnsi="Arial" w:cs="Arial"/>
          <w:sz w:val="24"/>
        </w:rPr>
        <w:t>.</w:t>
      </w:r>
    </w:p>
    <w:p w:rsidR="00F35996" w:rsidRPr="00F35996" w:rsidRDefault="00F35996" w:rsidP="00F35996">
      <w:pPr>
        <w:jc w:val="both"/>
        <w:rPr>
          <w:rFonts w:ascii="Arial" w:hAnsi="Arial" w:cs="Arial"/>
          <w:sz w:val="24"/>
        </w:rPr>
      </w:pPr>
      <w:r w:rsidRPr="00F35996">
        <w:rPr>
          <w:rFonts w:ascii="Arial" w:hAnsi="Arial" w:cs="Arial"/>
          <w:b/>
          <w:sz w:val="24"/>
        </w:rPr>
        <w:t>Resolución N° 5194 de 2010</w:t>
      </w:r>
      <w:r>
        <w:rPr>
          <w:rFonts w:ascii="Arial" w:hAnsi="Arial" w:cs="Arial"/>
          <w:b/>
          <w:sz w:val="24"/>
        </w:rPr>
        <w:t xml:space="preserve">. </w:t>
      </w:r>
      <w:r w:rsidRPr="00F35996">
        <w:rPr>
          <w:rFonts w:ascii="Arial" w:hAnsi="Arial" w:cs="Arial"/>
          <w:sz w:val="24"/>
        </w:rPr>
        <w:t>Por la cual se reglamenta la prestación de los servicios de cementerios, inhumación, exhumación y cremación de cadáveres</w:t>
      </w:r>
      <w:r>
        <w:rPr>
          <w:rFonts w:ascii="Arial" w:hAnsi="Arial" w:cs="Arial"/>
          <w:sz w:val="24"/>
        </w:rPr>
        <w:t>.</w:t>
      </w:r>
    </w:p>
    <w:p w:rsidR="007F2CA9" w:rsidRPr="007E3B76" w:rsidRDefault="00BE4A9A" w:rsidP="00BE4A9A">
      <w:pPr>
        <w:jc w:val="both"/>
        <w:rPr>
          <w:rFonts w:ascii="Arial" w:hAnsi="Arial" w:cs="Arial"/>
          <w:i/>
          <w:sz w:val="24"/>
        </w:rPr>
      </w:pPr>
      <w:r w:rsidRPr="007E3B76">
        <w:rPr>
          <w:rFonts w:ascii="Arial" w:hAnsi="Arial" w:cs="Arial"/>
          <w:i/>
          <w:sz w:val="24"/>
        </w:rPr>
        <w:t>Jurisprudencia:</w:t>
      </w:r>
    </w:p>
    <w:p w:rsidR="00BE4A9A" w:rsidRDefault="00BE4A9A" w:rsidP="00BE4A9A">
      <w:pPr>
        <w:jc w:val="both"/>
        <w:rPr>
          <w:rFonts w:ascii="Arial" w:hAnsi="Arial" w:cs="Arial"/>
          <w:sz w:val="24"/>
        </w:rPr>
      </w:pPr>
      <w:r>
        <w:rPr>
          <w:rFonts w:ascii="Arial" w:hAnsi="Arial" w:cs="Arial"/>
          <w:sz w:val="24"/>
        </w:rPr>
        <w:t>La Corte Constitucional se ha pronunciado respecto al tema que nos atañe en el presente proyecto de ley</w:t>
      </w:r>
      <w:r w:rsidR="00C9182A">
        <w:rPr>
          <w:rFonts w:ascii="Arial" w:hAnsi="Arial" w:cs="Arial"/>
          <w:sz w:val="24"/>
        </w:rPr>
        <w:t xml:space="preserve"> de la siguiente manera:</w:t>
      </w:r>
    </w:p>
    <w:p w:rsidR="00C9182A" w:rsidRDefault="00C9182A" w:rsidP="00BE4A9A">
      <w:pPr>
        <w:jc w:val="both"/>
        <w:rPr>
          <w:rFonts w:ascii="Arial" w:hAnsi="Arial" w:cs="Arial"/>
          <w:sz w:val="24"/>
        </w:rPr>
      </w:pPr>
      <w:r>
        <w:rPr>
          <w:rFonts w:ascii="Arial" w:hAnsi="Arial" w:cs="Arial"/>
          <w:sz w:val="24"/>
        </w:rPr>
        <w:t>En la Sentencia T-410 de 2003</w:t>
      </w:r>
      <w:r w:rsidR="00EF2297">
        <w:rPr>
          <w:rFonts w:ascii="Arial" w:hAnsi="Arial" w:cs="Arial"/>
          <w:sz w:val="24"/>
        </w:rPr>
        <w:t xml:space="preserve"> la Corte dice:</w:t>
      </w:r>
    </w:p>
    <w:p w:rsidR="00EF2297" w:rsidRDefault="00EF2297" w:rsidP="00112B90">
      <w:pPr>
        <w:pStyle w:val="body"/>
        <w:jc w:val="both"/>
        <w:rPr>
          <w:rFonts w:ascii="Arial" w:hAnsi="Arial" w:cs="Arial"/>
          <w:i/>
        </w:rPr>
      </w:pPr>
      <w:r w:rsidRPr="00EF2297">
        <w:rPr>
          <w:rFonts w:ascii="Arial" w:hAnsi="Arial" w:cs="Arial"/>
          <w:i/>
        </w:rPr>
        <w:t>“</w:t>
      </w:r>
      <w:r w:rsidR="00F32761" w:rsidRPr="00112B90">
        <w:rPr>
          <w:rFonts w:ascii="Arial" w:hAnsi="Arial" w:cs="Arial"/>
          <w:i/>
        </w:rPr>
        <w:t xml:space="preserve">El comprobado </w:t>
      </w:r>
      <w:r w:rsidR="00F32761" w:rsidRPr="00112B90">
        <w:rPr>
          <w:rFonts w:ascii="Arial" w:hAnsi="Arial" w:cs="Arial"/>
          <w:i/>
          <w:u w:val="single"/>
        </w:rPr>
        <w:t>suministro de agua contaminada y no apta para el consumo humano por parte de las autoridades accionadas, constituye un factor de riesgo y de vulneración de los derechos fundamentales a la vida, la dignidad humana, la salud y el ambiente sano</w:t>
      </w:r>
      <w:r w:rsidR="00F32761" w:rsidRPr="00112B90">
        <w:rPr>
          <w:rFonts w:ascii="Arial" w:hAnsi="Arial" w:cs="Arial"/>
          <w:i/>
        </w:rPr>
        <w:t xml:space="preserve"> del actor y de los habitantes del municipio, razón por la cual esta Sala decidirá a favor de la protección constitucional de esas garantías</w:t>
      </w:r>
      <w:r w:rsidRPr="00EF2297">
        <w:rPr>
          <w:rFonts w:ascii="Arial" w:hAnsi="Arial" w:cs="Arial"/>
          <w:i/>
        </w:rPr>
        <w:t>”</w:t>
      </w:r>
      <w:r w:rsidR="00F32761">
        <w:rPr>
          <w:rFonts w:ascii="Arial" w:hAnsi="Arial" w:cs="Arial"/>
          <w:i/>
        </w:rPr>
        <w:t>.</w:t>
      </w:r>
    </w:p>
    <w:p w:rsidR="00611639" w:rsidRDefault="00112B90" w:rsidP="00112B90">
      <w:pPr>
        <w:pStyle w:val="body"/>
        <w:jc w:val="both"/>
        <w:rPr>
          <w:rFonts w:ascii="Arial" w:hAnsi="Arial" w:cs="Arial"/>
          <w:color w:val="000000"/>
        </w:rPr>
      </w:pPr>
      <w:r>
        <w:rPr>
          <w:rFonts w:ascii="Arial" w:hAnsi="Arial" w:cs="Arial"/>
          <w:i/>
        </w:rPr>
        <w:t xml:space="preserve">(…) </w:t>
      </w:r>
      <w:r w:rsidR="00611639" w:rsidRPr="00611639">
        <w:rPr>
          <w:rFonts w:ascii="Arial" w:hAnsi="Arial" w:cs="Arial"/>
          <w:i/>
        </w:rPr>
        <w:t xml:space="preserve">Así entonces, según lo expuesto, el agua potable constituye un derecho constitucional fundamental cuando está destinada para el consumo humano, pues es indispensable para la vida. Por lo tanto, como lo ha señalado esta Corporación, la vulneración de este derecho es amparable a </w:t>
      </w:r>
      <w:r>
        <w:rPr>
          <w:rFonts w:ascii="Arial" w:hAnsi="Arial" w:cs="Arial"/>
          <w:i/>
        </w:rPr>
        <w:t>través de la acción de tutela</w:t>
      </w:r>
      <w:r w:rsidR="00611639">
        <w:rPr>
          <w:rFonts w:ascii="Arial" w:hAnsi="Arial" w:cs="Arial"/>
          <w:i/>
        </w:rPr>
        <w:t>”</w:t>
      </w:r>
      <w:r>
        <w:rPr>
          <w:rFonts w:ascii="Arial" w:hAnsi="Arial" w:cs="Arial"/>
          <w:i/>
        </w:rPr>
        <w:t>.</w:t>
      </w:r>
      <w:r w:rsidR="00D10D06">
        <w:rPr>
          <w:rFonts w:ascii="Arial" w:hAnsi="Arial" w:cs="Arial"/>
          <w:color w:val="000000"/>
        </w:rPr>
        <w:t>(Subrayado fuera de texto).</w:t>
      </w:r>
    </w:p>
    <w:p w:rsidR="00D10D06" w:rsidRDefault="00C430F1" w:rsidP="00112B90">
      <w:pPr>
        <w:pStyle w:val="body"/>
        <w:jc w:val="both"/>
        <w:rPr>
          <w:rFonts w:ascii="Arial" w:hAnsi="Arial" w:cs="Arial"/>
        </w:rPr>
      </w:pPr>
      <w:r>
        <w:rPr>
          <w:rFonts w:ascii="Arial" w:hAnsi="Arial" w:cs="Arial"/>
        </w:rPr>
        <w:t xml:space="preserve">Igualmente, en la Sentencia </w:t>
      </w:r>
      <w:r w:rsidRPr="00C430F1">
        <w:rPr>
          <w:rFonts w:ascii="Arial" w:hAnsi="Arial" w:cs="Arial"/>
        </w:rPr>
        <w:t>T-453</w:t>
      </w:r>
      <w:r>
        <w:rPr>
          <w:rFonts w:ascii="Arial" w:hAnsi="Arial" w:cs="Arial"/>
        </w:rPr>
        <w:t xml:space="preserve"> de 1998, la Corte expresó:</w:t>
      </w:r>
    </w:p>
    <w:p w:rsidR="00C430F1" w:rsidRPr="00C430F1" w:rsidRDefault="00C430F1" w:rsidP="00C430F1">
      <w:pPr>
        <w:pStyle w:val="body"/>
        <w:jc w:val="both"/>
        <w:rPr>
          <w:rFonts w:ascii="Arial" w:hAnsi="Arial" w:cs="Arial"/>
          <w:i/>
        </w:rPr>
      </w:pPr>
      <w:r w:rsidRPr="00C430F1">
        <w:rPr>
          <w:rFonts w:ascii="Arial" w:hAnsi="Arial" w:cs="Arial"/>
          <w:i/>
        </w:rPr>
        <w:t xml:space="preserve">“El Estado, de conformidad con el artículo 80 de la Carta, tiene el deber de realizar la planeación del manejo y aprovechamiento de los recursos naturales, para garantizar  así su desarrollo sostenible, conservación y restauración, sin descuidar su deber de prevenir el deterioro ambiental que eventualmente se pueda generar. </w:t>
      </w:r>
    </w:p>
    <w:p w:rsidR="00C430F1" w:rsidRPr="00C430F1" w:rsidRDefault="00C430F1" w:rsidP="00C430F1">
      <w:pPr>
        <w:pStyle w:val="body"/>
        <w:jc w:val="both"/>
        <w:rPr>
          <w:rFonts w:ascii="Arial" w:hAnsi="Arial" w:cs="Arial"/>
          <w:i/>
        </w:rPr>
      </w:pPr>
      <w:r w:rsidRPr="00C430F1">
        <w:rPr>
          <w:rFonts w:ascii="Arial" w:hAnsi="Arial" w:cs="Arial"/>
          <w:i/>
          <w:u w:val="single"/>
        </w:rPr>
        <w:t>Dentro de este esquema de protección deben ubicarse también, tal y como lo manifiesta con preocupación el demandante, los ríos, y por consiguiente las cuencas hidrográficas, que no solo son elementos integrantes del medio ambiente y recursos naturales renovables, sino que además ostentan la calidad de bienes de uso público</w:t>
      </w:r>
      <w:r w:rsidRPr="00C430F1">
        <w:rPr>
          <w:rFonts w:ascii="Arial" w:hAnsi="Arial" w:cs="Arial"/>
          <w:i/>
        </w:rPr>
        <w:t xml:space="preserve">, tal como lo establece el Código Civil en su artículo 677, que prevé:  "Los ríos y todas las aguas que corren por cauces naturales son bienes de la Unión, de uso público en los respectivos territorios. </w:t>
      </w:r>
    </w:p>
    <w:p w:rsidR="00C430F1" w:rsidRDefault="00322B7B" w:rsidP="00C430F1">
      <w:pPr>
        <w:pStyle w:val="body"/>
        <w:jc w:val="both"/>
        <w:rPr>
          <w:rFonts w:ascii="Arial" w:hAnsi="Arial" w:cs="Arial"/>
          <w:i/>
        </w:rPr>
      </w:pPr>
      <w:r>
        <w:rPr>
          <w:rFonts w:ascii="Arial" w:hAnsi="Arial" w:cs="Arial"/>
          <w:i/>
        </w:rPr>
        <w:lastRenderedPageBreak/>
        <w:t xml:space="preserve">(…) </w:t>
      </w:r>
      <w:r w:rsidR="00C430F1" w:rsidRPr="00C430F1">
        <w:rPr>
          <w:rFonts w:ascii="Arial" w:hAnsi="Arial" w:cs="Arial"/>
          <w:i/>
        </w:rPr>
        <w:t xml:space="preserve">Los ríos, tradicionalmente  han sido  objeto de protección en el ordenamiento jurídico mediante las acciones populares contempladas en el artículo 1005 del Código Civil, en la Ley 9a. de 1989 en lo relacionado con la protección del espacio público y bienes de uso público y por el Decreto “2303 de 1989, que creó la Jurisdicción Agraria, y que permite el ejercicio de la acción popular en favor del ambiente rural y los recursos naturales renovables del dominio público” [4]. </w:t>
      </w:r>
    </w:p>
    <w:p w:rsidR="00C430F1" w:rsidRPr="00C430F1" w:rsidRDefault="00C430F1" w:rsidP="00C430F1">
      <w:pPr>
        <w:pStyle w:val="body"/>
        <w:jc w:val="both"/>
        <w:rPr>
          <w:rFonts w:ascii="Arial" w:hAnsi="Arial" w:cs="Arial"/>
          <w:i/>
        </w:rPr>
      </w:pPr>
      <w:r w:rsidRPr="00C430F1">
        <w:rPr>
          <w:rFonts w:ascii="Arial" w:hAnsi="Arial" w:cs="Arial"/>
          <w:i/>
        </w:rPr>
        <w:t xml:space="preserve">Hoy pueden ser objeto de las acciones populares claramente reguladas por la Ley 472 de 1998 que desarrolla el artículo 88 de la Constitución y establece en su artículo 4o  numeral c) y d) como derechos colectivos susceptibles de protección por esta norma, aquellos relativos a la “defensa de los bienes de uso público” y aquellos relacionados con la necesidad de garantizar la “existencia del equilibrio ecológico”, eventos en los cuales se describe una posibilidad clara de protección de los ríos bajo el amparo de esta ley.  </w:t>
      </w:r>
    </w:p>
    <w:p w:rsidR="00C430F1" w:rsidRPr="00C430F1" w:rsidRDefault="00C430F1" w:rsidP="00C430F1">
      <w:pPr>
        <w:pStyle w:val="body"/>
        <w:jc w:val="both"/>
        <w:rPr>
          <w:rFonts w:ascii="Arial" w:hAnsi="Arial" w:cs="Arial"/>
          <w:i/>
        </w:rPr>
      </w:pPr>
      <w:r w:rsidRPr="00C430F1">
        <w:rPr>
          <w:rFonts w:ascii="Arial" w:hAnsi="Arial" w:cs="Arial"/>
          <w:i/>
        </w:rPr>
        <w:t xml:space="preserve">De todo lo anterior se desprende que con fundamento en el artículo 88 de la Constitución, el derecho al  ambiente sano se ha consagrado en la Carta como un derecho de carácter colectivo, razón por la cual su  mecanismo de protección será específicamente el de las acciones populares, salvo en aquellas circunstancias, en las cuales evidentemente se denote el menoscabo de derechos fundamentales, como se verá más adelante.” </w:t>
      </w:r>
    </w:p>
    <w:p w:rsidR="00C430F1" w:rsidRDefault="00407D60" w:rsidP="00112B90">
      <w:pPr>
        <w:pStyle w:val="body"/>
        <w:jc w:val="both"/>
        <w:rPr>
          <w:rFonts w:ascii="Arial" w:hAnsi="Arial" w:cs="Arial"/>
        </w:rPr>
      </w:pPr>
      <w:r>
        <w:rPr>
          <w:rFonts w:ascii="Arial" w:hAnsi="Arial" w:cs="Arial"/>
        </w:rPr>
        <w:t>Respecto al derecho a la salud y la vida, en la misma Sentencia la Corte expresa:</w:t>
      </w:r>
    </w:p>
    <w:p w:rsidR="00407D60" w:rsidRPr="00407D60" w:rsidRDefault="00407D60" w:rsidP="00407D60">
      <w:pPr>
        <w:pStyle w:val="body"/>
        <w:jc w:val="both"/>
        <w:rPr>
          <w:rFonts w:ascii="Arial" w:hAnsi="Arial" w:cs="Arial"/>
          <w:i/>
        </w:rPr>
      </w:pPr>
      <w:r>
        <w:rPr>
          <w:rFonts w:ascii="Arial" w:hAnsi="Arial" w:cs="Arial"/>
          <w:i/>
        </w:rPr>
        <w:t>“</w:t>
      </w:r>
      <w:r w:rsidRPr="00407D60">
        <w:rPr>
          <w:rFonts w:ascii="Arial" w:hAnsi="Arial" w:cs="Arial"/>
          <w:i/>
        </w:rPr>
        <w:t xml:space="preserve">En reiteradas ocasiones ha admitido esta Corporación la posibilidad de  proteger el derecho a la salud de las personas, a pesar de no ser considerado un derecho fundamental, en razón a su conexidad directa con el derecho a la vida. Ello implica, sin embargo,  el reconocimiento de la salud “como un predicado del derecho a la vida” [9], de manera tal, que atentar contra el primero puede llegar a significar un atentado directo contra el segundo [10]. Lo anterior se expresa en la aceptación de que existe un vínculo inescindible entre los anteriores derechos, razón por la cual, </w:t>
      </w:r>
      <w:r w:rsidRPr="00407D60">
        <w:rPr>
          <w:rFonts w:ascii="Arial" w:hAnsi="Arial" w:cs="Arial"/>
          <w:i/>
          <w:u w:val="single"/>
        </w:rPr>
        <w:t>ante la presencia de una enfermedad, puede no solo existir una vulneración de la salud sino paralelamente alguna circunstancia que permitan que de ella se derive una lesión permanente a la calidad de vida de una persona o incluso la muerte</w:t>
      </w:r>
      <w:r w:rsidRPr="00407D60">
        <w:rPr>
          <w:rFonts w:ascii="Arial" w:hAnsi="Arial" w:cs="Arial"/>
          <w:i/>
        </w:rPr>
        <w:t xml:space="preserve">, </w:t>
      </w:r>
      <w:r w:rsidRPr="00407D60">
        <w:rPr>
          <w:rFonts w:ascii="Arial" w:hAnsi="Arial" w:cs="Arial"/>
          <w:i/>
          <w:u w:val="single"/>
        </w:rPr>
        <w:t>generándose un atentado directo contra el derecho fundamental a la vida antes mencionado</w:t>
      </w:r>
      <w:r w:rsidRPr="00407D60">
        <w:rPr>
          <w:rFonts w:ascii="Arial" w:hAnsi="Arial" w:cs="Arial"/>
          <w:i/>
        </w:rPr>
        <w:t xml:space="preserve">. </w:t>
      </w:r>
    </w:p>
    <w:p w:rsidR="00407D60" w:rsidRPr="00407D60" w:rsidRDefault="00407D60" w:rsidP="00407D60">
      <w:pPr>
        <w:pStyle w:val="body"/>
        <w:jc w:val="both"/>
        <w:rPr>
          <w:rFonts w:ascii="Arial" w:hAnsi="Arial" w:cs="Arial"/>
          <w:i/>
        </w:rPr>
      </w:pPr>
      <w:r w:rsidRPr="00407D60">
        <w:rPr>
          <w:rFonts w:ascii="Arial" w:hAnsi="Arial" w:cs="Arial"/>
          <w:i/>
        </w:rPr>
        <w:t xml:space="preserve">El concepto y protección del derecho a la vida, en ese orden de ideas, involucra aspectos que se extienden más allá de la posibilidad o no de existencia. En efecto, tal y como se dijo recientemente por esta Sala en la sentencia T-395 de 1998[11], </w:t>
      </w:r>
    </w:p>
    <w:p w:rsidR="00407D60" w:rsidRPr="00407D60" w:rsidRDefault="00407D60" w:rsidP="00407D60">
      <w:pPr>
        <w:pStyle w:val="body"/>
        <w:jc w:val="both"/>
        <w:rPr>
          <w:rFonts w:ascii="Arial" w:hAnsi="Arial" w:cs="Arial"/>
          <w:i/>
        </w:rPr>
      </w:pPr>
      <w:r w:rsidRPr="00407D60">
        <w:rPr>
          <w:rFonts w:ascii="Arial" w:hAnsi="Arial" w:cs="Arial"/>
          <w:i/>
        </w:rPr>
        <w:t xml:space="preserve">“ (…) </w:t>
      </w:r>
      <w:r w:rsidRPr="00407D60">
        <w:rPr>
          <w:rFonts w:ascii="Arial" w:hAnsi="Arial" w:cs="Arial"/>
          <w:i/>
          <w:u w:val="single"/>
        </w:rPr>
        <w:t xml:space="preserve">el concepto de vida al que en reiteradas ocasiones ha hecho alusión esta Corporación, no es  un concepto limitado a la idea restrictiva de peligro de </w:t>
      </w:r>
      <w:r w:rsidRPr="00407D60">
        <w:rPr>
          <w:rFonts w:ascii="Arial" w:hAnsi="Arial" w:cs="Arial"/>
          <w:i/>
          <w:u w:val="single"/>
        </w:rPr>
        <w:lastRenderedPageBreak/>
        <w:t>muerte,</w:t>
      </w:r>
      <w:r w:rsidRPr="00407D60">
        <w:rPr>
          <w:rFonts w:ascii="Arial" w:hAnsi="Arial" w:cs="Arial"/>
          <w:i/>
        </w:rPr>
        <w:t xml:space="preserve">que daría lugar al amparo de tutela solo en el evento de encontrarse el individuo a punto de fenecer o de perder una función orgánica de manera definitiva; </w:t>
      </w:r>
      <w:r w:rsidRPr="00407D60">
        <w:rPr>
          <w:rFonts w:ascii="Arial" w:hAnsi="Arial" w:cs="Arial"/>
          <w:i/>
          <w:u w:val="single"/>
        </w:rPr>
        <w:t>sino que se consolida como un concepto  más amplio a la simple y limitada  posibilidad de existir o no,  extendiéndose al  objetivo de  garantizar también  una existencia en condiciones dignas.</w:t>
      </w:r>
      <w:r w:rsidRPr="00407D60">
        <w:rPr>
          <w:rFonts w:ascii="Arial" w:hAnsi="Arial" w:cs="Arial"/>
          <w:i/>
        </w:rPr>
        <w:t xml:space="preserve"> Lo que se pretende entonces,  es respetar la situación “existencial de la vida humana en condiciones de plena dignidad”, ya que  “al hombre no se le debe una vida cualquiera, sino una vida saludable”[12], en la medida en que sea posible. </w:t>
      </w:r>
    </w:p>
    <w:p w:rsidR="00407D60" w:rsidRPr="00407D60" w:rsidRDefault="00407D60" w:rsidP="00407D60">
      <w:pPr>
        <w:pStyle w:val="body"/>
        <w:jc w:val="both"/>
        <w:rPr>
          <w:rFonts w:ascii="Arial" w:hAnsi="Arial" w:cs="Arial"/>
          <w:i/>
        </w:rPr>
      </w:pPr>
      <w:r w:rsidRPr="00407D60">
        <w:rPr>
          <w:rFonts w:ascii="Arial" w:hAnsi="Arial" w:cs="Arial"/>
          <w:i/>
        </w:rPr>
        <w:t>De conformidad con lo anterior y sin olvidar su relación directa con la vida y la calidad misma de ella  se ha entendido por derecho a la salud,"la facultad que tiene todo ser humano de mantener la normalidad orgánica funcional, tanto física como en el plano de la operatividad mental, y de restablecerse cuando se presente una perturbación en la estabilidad orgánica y funcional de su ser. Implica, por tanto, una acción de conservación y otra de restablecimiento..." [13].</w:t>
      </w:r>
    </w:p>
    <w:p w:rsidR="00407D60" w:rsidRPr="00407D60" w:rsidRDefault="00407D60" w:rsidP="00407D60">
      <w:pPr>
        <w:pStyle w:val="body"/>
        <w:jc w:val="both"/>
        <w:rPr>
          <w:rFonts w:ascii="Arial" w:hAnsi="Arial" w:cs="Arial"/>
        </w:rPr>
      </w:pPr>
      <w:r w:rsidRPr="00407D60">
        <w:rPr>
          <w:rFonts w:ascii="Arial" w:hAnsi="Arial" w:cs="Arial"/>
          <w:i/>
        </w:rPr>
        <w:t xml:space="preserve">(…) Esta Corporación ha manifestado en otras ocasiones, que  la tutela puede prosperar </w:t>
      </w:r>
      <w:r>
        <w:rPr>
          <w:rFonts w:ascii="Arial" w:hAnsi="Arial" w:cs="Arial"/>
          <w:i/>
        </w:rPr>
        <w:t>(…)</w:t>
      </w:r>
      <w:r w:rsidR="00D24438">
        <w:rPr>
          <w:rFonts w:ascii="Arial" w:hAnsi="Arial" w:cs="Arial"/>
          <w:i/>
        </w:rPr>
        <w:t xml:space="preserve">en </w:t>
      </w:r>
      <w:r w:rsidRPr="00407D60">
        <w:rPr>
          <w:rFonts w:ascii="Arial" w:hAnsi="Arial" w:cs="Arial"/>
          <w:i/>
        </w:rPr>
        <w:t>eventos que puedan ser de menor gravedad pero que perturben el núcleo esencial del mismo y tengan la posibilidad de desv</w:t>
      </w:r>
      <w:r w:rsidR="00D24438">
        <w:rPr>
          <w:rFonts w:ascii="Arial" w:hAnsi="Arial" w:cs="Arial"/>
          <w:i/>
        </w:rPr>
        <w:t xml:space="preserve">irtuar claramente la vida y la </w:t>
      </w:r>
      <w:r w:rsidRPr="00407D60">
        <w:rPr>
          <w:rFonts w:ascii="Arial" w:hAnsi="Arial" w:cs="Arial"/>
          <w:i/>
        </w:rPr>
        <w:t>calidad de la misma en las personas [14], en cada caso específico.”[15]</w:t>
      </w:r>
      <w:r w:rsidRPr="00407D60">
        <w:rPr>
          <w:rFonts w:ascii="Arial" w:hAnsi="Arial" w:cs="Arial"/>
        </w:rPr>
        <w:t xml:space="preserve"> (Subrayas no son del texto original)</w:t>
      </w:r>
    </w:p>
    <w:p w:rsidR="00407D60" w:rsidRDefault="00D65989" w:rsidP="00112B90">
      <w:pPr>
        <w:pStyle w:val="body"/>
        <w:jc w:val="both"/>
        <w:rPr>
          <w:rFonts w:ascii="Arial" w:hAnsi="Arial" w:cs="Arial"/>
        </w:rPr>
      </w:pPr>
      <w:r>
        <w:rPr>
          <w:rFonts w:ascii="Arial" w:hAnsi="Arial" w:cs="Arial"/>
        </w:rPr>
        <w:t>En materia de política medioambiental, la corte ha manifestado a través de la Sentencia T – 055 de 2011, lo siguiente:</w:t>
      </w:r>
    </w:p>
    <w:p w:rsidR="00D65989" w:rsidRPr="00D65989" w:rsidRDefault="00D65989" w:rsidP="00D65989">
      <w:pPr>
        <w:pStyle w:val="body"/>
        <w:jc w:val="both"/>
        <w:rPr>
          <w:rFonts w:ascii="Arial" w:hAnsi="Arial" w:cs="Arial"/>
          <w:i/>
        </w:rPr>
      </w:pPr>
      <w:r w:rsidRPr="00D65989">
        <w:rPr>
          <w:rFonts w:ascii="Arial" w:hAnsi="Arial" w:cs="Arial"/>
          <w:i/>
        </w:rPr>
        <w:t xml:space="preserve">“La prevención se basa en dos ideas-fuerza: </w:t>
      </w:r>
      <w:r w:rsidRPr="00D65989">
        <w:rPr>
          <w:rFonts w:ascii="Arial" w:hAnsi="Arial" w:cs="Arial"/>
          <w:i/>
          <w:u w:val="single"/>
        </w:rPr>
        <w:t xml:space="preserve">el riesgo de daño ambiental podemos conocerlo anticipadamente y podemos adoptar medidas para neutralizarlo. </w:t>
      </w:r>
      <w:r w:rsidRPr="00D65989">
        <w:rPr>
          <w:rFonts w:ascii="Arial" w:hAnsi="Arial" w:cs="Arial"/>
          <w:i/>
        </w:rPr>
        <w:t>Por el contrario, la precaución, en su formulación más radical, se basa en las siguientes ideas: el riesgo de daño ambiental no puede ser conocido anticipadamente porque no podemos materialmente conocer los efectos a medio y largo plazo de una acción. La posibilidad de anticipación es limitada e imperfecta al estar basada en nuestro grado o estadio de conocimientos científicos, los cuales son limitados e imperfectos. En consecuencia, no es posible adoptar anticipadamente medidas para neutralizar los riesgos de daños, porque éstos no pueden ser conocidos en su exactitud.</w:t>
      </w:r>
    </w:p>
    <w:p w:rsidR="00D65989" w:rsidRPr="00D65989" w:rsidRDefault="00D65989" w:rsidP="00D65989">
      <w:pPr>
        <w:pStyle w:val="body"/>
        <w:jc w:val="both"/>
        <w:rPr>
          <w:rFonts w:ascii="Arial" w:hAnsi="Arial" w:cs="Arial"/>
          <w:i/>
        </w:rPr>
      </w:pPr>
      <w:r w:rsidRPr="00D65989">
        <w:rPr>
          <w:rFonts w:ascii="Arial" w:hAnsi="Arial" w:cs="Arial"/>
          <w:i/>
        </w:rPr>
        <w:t xml:space="preserve">[…] Es necesario situar el principio de precaución en el actual clima de relativismo del conocimiento científico en el que vivimos, el cual nos está llevando a cuestionarnos acerca de nuestra propia capacidad de prevención, más entendida ésta desde un perspectiva dinámica o activa, es decir, tras haber agotado incluso las medidas constitutivas de lo hemos denominado acciones preventivas. […] El principio de cautela o precaución con ser importante, no puede ser ensalzado o cuando menos entendido como una fase superior o más avanzada que la </w:t>
      </w:r>
      <w:r w:rsidRPr="00D65989">
        <w:rPr>
          <w:rFonts w:ascii="Arial" w:hAnsi="Arial" w:cs="Arial"/>
          <w:i/>
        </w:rPr>
        <w:lastRenderedPageBreak/>
        <w:t xml:space="preserve">prevención desde una perspectiva estrictamente jurídica, sino que debemos circunscribirlo por completo a los riesgos de daños ambientales muy significativos o importantes, o más estrictamente, a los irreversibles, luego, como un principio, no tanto superior, más avanzado e incluso sustitutivo del principio de prevención, sino complementario (y por tanto, actuante en su ámbito propio de aplicación) del principio de prevención. </w:t>
      </w:r>
    </w:p>
    <w:p w:rsidR="00D65989" w:rsidRDefault="00D65989" w:rsidP="00D65989">
      <w:pPr>
        <w:pStyle w:val="body"/>
        <w:jc w:val="both"/>
        <w:rPr>
          <w:rFonts w:ascii="Arial" w:hAnsi="Arial" w:cs="Arial"/>
        </w:rPr>
      </w:pPr>
      <w:r w:rsidRPr="00D65989">
        <w:rPr>
          <w:rFonts w:ascii="Arial" w:hAnsi="Arial" w:cs="Arial"/>
          <w:i/>
          <w:u w:val="single"/>
        </w:rPr>
        <w:t>Y éste es a nuestro entender, el auténtico sentido del Principio 15 de la Declaración de Río sobre el Medio Ambiente y el Desarrollo: con el fin de proteger el medio ambiente, los Estados deberán aplicar ampliamente el criterio de precaución conforme a sus capacidades. Cuando haya peligro de daño grave e irreversible, la falta de certeza científica absoluta no deberá utilizarse como razón para postergar la adopción de medidas eficaces en función de los costos para impedir la degradación del medio ambiente</w:t>
      </w:r>
      <w:r w:rsidRPr="00D65989">
        <w:rPr>
          <w:rFonts w:ascii="Arial" w:hAnsi="Arial" w:cs="Arial"/>
          <w:i/>
        </w:rPr>
        <w:t xml:space="preserve">”. </w:t>
      </w:r>
      <w:r w:rsidRPr="00407D60">
        <w:rPr>
          <w:rFonts w:ascii="Arial" w:hAnsi="Arial" w:cs="Arial"/>
        </w:rPr>
        <w:t>(Subraya</w:t>
      </w:r>
      <w:r w:rsidR="00FA4BB9">
        <w:rPr>
          <w:rFonts w:ascii="Arial" w:hAnsi="Arial" w:cs="Arial"/>
        </w:rPr>
        <w:t>do fuera del texto</w:t>
      </w:r>
      <w:r w:rsidRPr="00407D60">
        <w:rPr>
          <w:rFonts w:ascii="Arial" w:hAnsi="Arial" w:cs="Arial"/>
        </w:rPr>
        <w:t xml:space="preserve"> original)</w:t>
      </w:r>
    </w:p>
    <w:p w:rsidR="00D65989" w:rsidRDefault="009745E1" w:rsidP="00D65989">
      <w:pPr>
        <w:pStyle w:val="body"/>
        <w:jc w:val="both"/>
        <w:rPr>
          <w:rFonts w:ascii="Arial" w:hAnsi="Arial" w:cs="Arial"/>
        </w:rPr>
      </w:pPr>
      <w:r>
        <w:rPr>
          <w:rFonts w:ascii="Arial" w:hAnsi="Arial" w:cs="Arial"/>
        </w:rPr>
        <w:t xml:space="preserve">Sobre </w:t>
      </w:r>
      <w:r w:rsidR="00245CBB">
        <w:rPr>
          <w:rFonts w:ascii="Arial" w:hAnsi="Arial" w:cs="Arial"/>
        </w:rPr>
        <w:t>la afectación de los recursos hídricos más específicamente de las aguas subterráneas</w:t>
      </w:r>
      <w:r>
        <w:rPr>
          <w:rFonts w:ascii="Arial" w:hAnsi="Arial" w:cs="Arial"/>
        </w:rPr>
        <w:t xml:space="preserve">, </w:t>
      </w:r>
      <w:r w:rsidR="00245CBB">
        <w:rPr>
          <w:rFonts w:ascii="Arial" w:hAnsi="Arial" w:cs="Arial"/>
        </w:rPr>
        <w:t>la Corte manifiesta a través de</w:t>
      </w:r>
      <w:r>
        <w:rPr>
          <w:rFonts w:ascii="Arial" w:hAnsi="Arial" w:cs="Arial"/>
        </w:rPr>
        <w:t xml:space="preserve"> la Sentencia T 092 de 1993</w:t>
      </w:r>
      <w:r w:rsidR="00245CBB">
        <w:rPr>
          <w:rFonts w:ascii="Arial" w:hAnsi="Arial" w:cs="Arial"/>
        </w:rPr>
        <w:t>:</w:t>
      </w:r>
    </w:p>
    <w:p w:rsidR="009745E1" w:rsidRDefault="009745E1" w:rsidP="00E21485">
      <w:pPr>
        <w:jc w:val="both"/>
        <w:rPr>
          <w:rFonts w:ascii="Arial" w:hAnsi="Arial" w:cs="Arial"/>
          <w:i/>
        </w:rPr>
      </w:pPr>
      <w:r w:rsidRPr="00E21485">
        <w:rPr>
          <w:rFonts w:ascii="Arial" w:hAnsi="Arial" w:cs="Arial"/>
          <w:i/>
        </w:rPr>
        <w:t>“</w:t>
      </w:r>
      <w:r w:rsidR="00E21485" w:rsidRPr="00E21485">
        <w:rPr>
          <w:rFonts w:ascii="Arial" w:eastAsia="Times New Roman" w:hAnsi="Arial" w:cs="Arial"/>
          <w:i/>
          <w:sz w:val="24"/>
          <w:szCs w:val="24"/>
          <w:lang w:eastAsia="es-ES"/>
        </w:rPr>
        <w:t>El derecho al medio ambiente no se puede desligar del derecho a  la vida y a la salud de las personas. De hecho, los factores perturbadores del medio ambiente  causan daños irreparables en los seres humanos y si ello es así habrá que decirse  que el medio ambiente es un derecho fundamental para la existencia de la humanidad.  A esta conclusión se ha llegado cuando esta Corte ha evaluado la incidencia del medio ambiente en la vida de los hombres y por ello en sentencias anteriores de tutelas, se ha afirmado que el derecho al medio ambiente es un derecho fundamental</w:t>
      </w:r>
      <w:r w:rsidRPr="00E21485">
        <w:rPr>
          <w:rFonts w:ascii="Arial" w:hAnsi="Arial" w:cs="Arial"/>
          <w:i/>
        </w:rPr>
        <w:t>”</w:t>
      </w:r>
      <w:r w:rsidR="00E21485" w:rsidRPr="00E21485">
        <w:rPr>
          <w:rFonts w:ascii="Arial" w:hAnsi="Arial" w:cs="Arial"/>
          <w:i/>
        </w:rPr>
        <w:t>.</w:t>
      </w:r>
    </w:p>
    <w:p w:rsidR="00E21485" w:rsidRPr="00E21485" w:rsidRDefault="00E21485" w:rsidP="00E21485">
      <w:pPr>
        <w:jc w:val="both"/>
        <w:rPr>
          <w:rFonts w:ascii="Arial" w:eastAsia="Times New Roman" w:hAnsi="Arial" w:cs="Arial"/>
          <w:i/>
          <w:sz w:val="24"/>
          <w:szCs w:val="24"/>
          <w:lang w:eastAsia="es-ES"/>
        </w:rPr>
      </w:pPr>
      <w:r>
        <w:rPr>
          <w:rFonts w:ascii="Arial" w:eastAsia="Times New Roman" w:hAnsi="Arial" w:cs="Arial"/>
          <w:i/>
          <w:sz w:val="24"/>
          <w:szCs w:val="24"/>
          <w:lang w:eastAsia="es-ES"/>
        </w:rPr>
        <w:t xml:space="preserve">(…) </w:t>
      </w:r>
      <w:r w:rsidRPr="00E21485">
        <w:rPr>
          <w:rFonts w:ascii="Arial" w:eastAsia="Times New Roman" w:hAnsi="Arial" w:cs="Arial"/>
          <w:i/>
          <w:sz w:val="24"/>
          <w:szCs w:val="24"/>
          <w:lang w:eastAsia="es-ES"/>
        </w:rPr>
        <w:t xml:space="preserve">Considera que </w:t>
      </w:r>
      <w:r w:rsidRPr="00783F02">
        <w:rPr>
          <w:rFonts w:ascii="Arial" w:eastAsia="Times New Roman" w:hAnsi="Arial" w:cs="Arial"/>
          <w:i/>
          <w:sz w:val="24"/>
          <w:szCs w:val="24"/>
          <w:u w:val="single"/>
          <w:lang w:eastAsia="es-ES"/>
        </w:rPr>
        <w:t>habría un perjuicio irremediable colectivo e individual a la comunidad</w:t>
      </w:r>
      <w:r w:rsidRPr="00E21485">
        <w:rPr>
          <w:rFonts w:ascii="Arial" w:eastAsia="Times New Roman" w:hAnsi="Arial" w:cs="Arial"/>
          <w:i/>
          <w:sz w:val="24"/>
          <w:szCs w:val="24"/>
          <w:lang w:eastAsia="es-ES"/>
        </w:rPr>
        <w:t xml:space="preserve"> de los barrios ya nombrados del sector, "...</w:t>
      </w:r>
      <w:r w:rsidRPr="00FA4BB9">
        <w:rPr>
          <w:rFonts w:ascii="Arial" w:eastAsia="Times New Roman" w:hAnsi="Arial" w:cs="Arial"/>
          <w:i/>
          <w:sz w:val="24"/>
          <w:szCs w:val="24"/>
          <w:u w:val="single"/>
          <w:lang w:eastAsia="es-ES"/>
        </w:rPr>
        <w:t>tanto en su derecho fundamental a la vida, como en sus derechos colectivos y del medio ambiente</w:t>
      </w:r>
      <w:r w:rsidRPr="00E21485">
        <w:rPr>
          <w:rFonts w:ascii="Arial" w:eastAsia="Times New Roman" w:hAnsi="Arial" w:cs="Arial"/>
          <w:i/>
          <w:sz w:val="24"/>
          <w:szCs w:val="24"/>
          <w:lang w:eastAsia="es-ES"/>
        </w:rPr>
        <w:t xml:space="preserve">, porque según el Ingeniero Físico Luis Orlando Castro: </w:t>
      </w:r>
      <w:r w:rsidRPr="00FA4BB9">
        <w:rPr>
          <w:rFonts w:ascii="Arial" w:eastAsia="Times New Roman" w:hAnsi="Arial" w:cs="Arial"/>
          <w:i/>
          <w:sz w:val="24"/>
          <w:szCs w:val="24"/>
          <w:u w:val="single"/>
          <w:lang w:eastAsia="es-ES"/>
        </w:rPr>
        <w:t>'Las aguas que caen por efecto de las lluvias sobre el área del relleno, pasan a través de las capas de basura en descomposición, y por efecto de filtración, llegan a las fuentes subterráneas de agua, que más tarde alimentan los ríos, y estos a su vez surten los acueductos'</w:t>
      </w:r>
      <w:r w:rsidRPr="00E21485">
        <w:rPr>
          <w:rFonts w:ascii="Arial" w:eastAsia="Times New Roman" w:hAnsi="Arial" w:cs="Arial"/>
          <w:i/>
          <w:sz w:val="24"/>
          <w:szCs w:val="24"/>
          <w:lang w:eastAsia="es-ES"/>
        </w:rPr>
        <w:t>. Es el caso concreto que se presenta para la comunidad cercana al sitio del relleno sanitario</w:t>
      </w:r>
      <w:r w:rsidRPr="00FA4BB9">
        <w:rPr>
          <w:rFonts w:ascii="Arial" w:eastAsia="Times New Roman" w:hAnsi="Arial" w:cs="Arial"/>
          <w:i/>
          <w:sz w:val="28"/>
          <w:szCs w:val="24"/>
          <w:lang w:eastAsia="es-ES"/>
        </w:rPr>
        <w:t>".</w:t>
      </w:r>
      <w:r w:rsidR="00FA4BB9" w:rsidRPr="00FA4BB9">
        <w:rPr>
          <w:rFonts w:ascii="Arial" w:hAnsi="Arial" w:cs="Arial"/>
          <w:sz w:val="24"/>
        </w:rPr>
        <w:t>(Subrayado fuera del texto original)</w:t>
      </w:r>
    </w:p>
    <w:p w:rsidR="00694331" w:rsidRDefault="00694331" w:rsidP="001D6C33">
      <w:pPr>
        <w:jc w:val="both"/>
        <w:rPr>
          <w:rFonts w:ascii="Arial" w:hAnsi="Arial" w:cs="Arial"/>
          <w:b/>
          <w:sz w:val="24"/>
        </w:rPr>
      </w:pPr>
    </w:p>
    <w:p w:rsidR="00694331" w:rsidRDefault="00694331" w:rsidP="001D6C33">
      <w:pPr>
        <w:jc w:val="both"/>
        <w:rPr>
          <w:rFonts w:ascii="Arial" w:hAnsi="Arial" w:cs="Arial"/>
          <w:b/>
          <w:sz w:val="24"/>
        </w:rPr>
      </w:pPr>
    </w:p>
    <w:p w:rsidR="00CD3266" w:rsidRPr="007E3B76" w:rsidRDefault="007E3B76" w:rsidP="001D6C33">
      <w:pPr>
        <w:jc w:val="both"/>
        <w:rPr>
          <w:rFonts w:ascii="Arial" w:hAnsi="Arial" w:cs="Arial"/>
          <w:b/>
          <w:sz w:val="24"/>
        </w:rPr>
      </w:pPr>
      <w:r w:rsidRPr="007E3B76">
        <w:rPr>
          <w:rFonts w:ascii="Arial" w:hAnsi="Arial" w:cs="Arial"/>
          <w:b/>
          <w:sz w:val="24"/>
        </w:rPr>
        <w:lastRenderedPageBreak/>
        <w:t>OBJETIVO DEL PROYECTO DE LEY:</w:t>
      </w:r>
    </w:p>
    <w:p w:rsidR="00CD3266" w:rsidRDefault="00CD3266" w:rsidP="00CD3266">
      <w:pPr>
        <w:jc w:val="both"/>
        <w:rPr>
          <w:rFonts w:ascii="Arial" w:hAnsi="Arial" w:cs="Arial"/>
          <w:sz w:val="24"/>
        </w:rPr>
      </w:pPr>
      <w:r w:rsidRPr="00CD3266">
        <w:rPr>
          <w:rFonts w:ascii="Arial" w:hAnsi="Arial" w:cs="Arial"/>
          <w:sz w:val="24"/>
        </w:rPr>
        <w:t xml:space="preserve">El presente proyecto de ley tiene como objetivo fortalecer </w:t>
      </w:r>
      <w:r>
        <w:rPr>
          <w:rFonts w:ascii="Arial" w:hAnsi="Arial" w:cs="Arial"/>
          <w:sz w:val="24"/>
        </w:rPr>
        <w:t xml:space="preserve">las medidas establecidas </w:t>
      </w:r>
      <w:r>
        <w:rPr>
          <w:rFonts w:ascii="Arial" w:hAnsi="Arial" w:cs="Arial"/>
          <w:sz w:val="24"/>
          <w:szCs w:val="24"/>
        </w:rPr>
        <w:t>legalmente,</w:t>
      </w:r>
      <w:r w:rsidRPr="00AC68CC">
        <w:rPr>
          <w:rFonts w:ascii="Arial" w:hAnsi="Arial" w:cs="Arial"/>
          <w:sz w:val="24"/>
          <w:szCs w:val="24"/>
        </w:rPr>
        <w:t xml:space="preserve"> para evitar</w:t>
      </w:r>
      <w:r w:rsidRPr="00AC68CC">
        <w:rPr>
          <w:rFonts w:ascii="Arial" w:hAnsi="Arial" w:cs="Arial"/>
          <w:sz w:val="24"/>
        </w:rPr>
        <w:t xml:space="preserve">la contaminación </w:t>
      </w:r>
      <w:r>
        <w:rPr>
          <w:rFonts w:ascii="Arial" w:hAnsi="Arial" w:cs="Arial"/>
          <w:sz w:val="24"/>
        </w:rPr>
        <w:t>de las aguas subterráneas</w:t>
      </w:r>
      <w:r w:rsidRPr="00AC68CC">
        <w:rPr>
          <w:rFonts w:ascii="Arial" w:hAnsi="Arial" w:cs="Arial"/>
          <w:sz w:val="24"/>
        </w:rPr>
        <w:t>, como resultado de acciones generadas por el hombre, en el desarrollo</w:t>
      </w:r>
      <w:r>
        <w:rPr>
          <w:rFonts w:ascii="Arial" w:hAnsi="Arial" w:cs="Arial"/>
          <w:sz w:val="24"/>
        </w:rPr>
        <w:t xml:space="preserve"> de cualquier actividad</w:t>
      </w:r>
      <w:r w:rsidRPr="00AC68CC">
        <w:rPr>
          <w:rFonts w:ascii="Arial" w:hAnsi="Arial" w:cs="Arial"/>
          <w:sz w:val="24"/>
        </w:rPr>
        <w:t xml:space="preserve"> que de acuerdo con la ley y los reglamentos, pueda producir deterioro grave a los recursos naturales renovables o al medio ambiente</w:t>
      </w:r>
      <w:r>
        <w:rPr>
          <w:rFonts w:ascii="Arial" w:hAnsi="Arial" w:cs="Arial"/>
          <w:sz w:val="24"/>
        </w:rPr>
        <w:t>.</w:t>
      </w:r>
    </w:p>
    <w:p w:rsidR="000E57BD" w:rsidRPr="000E57BD" w:rsidRDefault="000E57BD" w:rsidP="000E57BD">
      <w:pPr>
        <w:jc w:val="both"/>
        <w:rPr>
          <w:rFonts w:ascii="Arial" w:hAnsi="Arial" w:cs="Arial"/>
          <w:b/>
          <w:i/>
          <w:sz w:val="24"/>
        </w:rPr>
      </w:pPr>
      <w:r>
        <w:rPr>
          <w:rFonts w:ascii="Arial" w:hAnsi="Arial" w:cs="Arial"/>
          <w:sz w:val="24"/>
        </w:rPr>
        <w:t xml:space="preserve">Con este propósito adiciona un numeral al </w:t>
      </w:r>
      <w:r w:rsidRPr="00AC68CC">
        <w:rPr>
          <w:rFonts w:ascii="Arial" w:hAnsi="Arial" w:cs="Arial"/>
          <w:sz w:val="24"/>
        </w:rPr>
        <w:t>artículo 9° del Decreto Reglamentario 2028 de 2010,</w:t>
      </w:r>
      <w:r>
        <w:rPr>
          <w:rFonts w:ascii="Arial" w:hAnsi="Arial" w:cs="Arial"/>
          <w:sz w:val="24"/>
        </w:rPr>
        <w:t xml:space="preserve"> incorporando la construcción y funcionamiento de los </w:t>
      </w:r>
      <w:r>
        <w:rPr>
          <w:rFonts w:ascii="Arial" w:hAnsi="Arial" w:cs="Arial"/>
          <w:b/>
          <w:i/>
          <w:sz w:val="24"/>
        </w:rPr>
        <w:t>cementerios</w:t>
      </w:r>
      <w:r w:rsidRPr="000E57BD">
        <w:rPr>
          <w:rFonts w:ascii="Arial" w:hAnsi="Arial" w:cs="Arial"/>
          <w:i/>
          <w:sz w:val="24"/>
        </w:rPr>
        <w:t xml:space="preserve">, </w:t>
      </w:r>
      <w:r w:rsidRPr="000E57BD">
        <w:rPr>
          <w:rFonts w:ascii="Arial" w:hAnsi="Arial" w:cs="Arial"/>
          <w:sz w:val="24"/>
        </w:rPr>
        <w:t xml:space="preserve">como actividades que requerirán </w:t>
      </w:r>
      <w:r>
        <w:rPr>
          <w:rFonts w:ascii="Arial" w:hAnsi="Arial" w:cs="Arial"/>
          <w:sz w:val="24"/>
        </w:rPr>
        <w:t>el otorgamiento de Licencia Ambiental, por parte de la autoridad competente.</w:t>
      </w:r>
    </w:p>
    <w:p w:rsidR="000E57BD" w:rsidRDefault="000E57BD" w:rsidP="000E57BD">
      <w:pPr>
        <w:jc w:val="both"/>
        <w:rPr>
          <w:rFonts w:ascii="Arial" w:hAnsi="Arial" w:cs="Arial"/>
          <w:sz w:val="24"/>
        </w:rPr>
      </w:pPr>
      <w:r w:rsidRPr="000E57BD">
        <w:rPr>
          <w:rFonts w:ascii="Arial" w:hAnsi="Arial" w:cs="Arial"/>
          <w:sz w:val="24"/>
        </w:rPr>
        <w:t xml:space="preserve">Lo anterior </w:t>
      </w:r>
      <w:r>
        <w:rPr>
          <w:rFonts w:ascii="Arial" w:hAnsi="Arial" w:cs="Arial"/>
          <w:sz w:val="24"/>
        </w:rPr>
        <w:t>teniendo en cuenta que son establecimientos para</w:t>
      </w:r>
      <w:r w:rsidRPr="000E57BD">
        <w:rPr>
          <w:rFonts w:ascii="Arial" w:hAnsi="Arial" w:cs="Arial"/>
          <w:sz w:val="24"/>
        </w:rPr>
        <w:t xml:space="preserve"> el almacenamiento, tratamiento, procesamiento y/o disposición final de residuos o desechos peligrosos, como resultado del proceso de cremación o descomposición de restos humanos</w:t>
      </w:r>
      <w:r>
        <w:rPr>
          <w:rFonts w:ascii="Arial" w:hAnsi="Arial" w:cs="Arial"/>
          <w:sz w:val="24"/>
        </w:rPr>
        <w:t>.</w:t>
      </w:r>
    </w:p>
    <w:p w:rsidR="00694331" w:rsidRDefault="00694331" w:rsidP="001D6C33">
      <w:pPr>
        <w:jc w:val="both"/>
        <w:rPr>
          <w:rFonts w:ascii="Arial" w:hAnsi="Arial" w:cs="Arial"/>
          <w:b/>
          <w:sz w:val="24"/>
        </w:rPr>
      </w:pPr>
    </w:p>
    <w:p w:rsidR="00CD3266" w:rsidRPr="007E3B76" w:rsidRDefault="007E3B76" w:rsidP="001D6C33">
      <w:pPr>
        <w:jc w:val="both"/>
        <w:rPr>
          <w:rFonts w:ascii="Arial" w:hAnsi="Arial" w:cs="Arial"/>
          <w:b/>
          <w:sz w:val="24"/>
        </w:rPr>
      </w:pPr>
      <w:r w:rsidRPr="007E3B76">
        <w:rPr>
          <w:rFonts w:ascii="Arial" w:hAnsi="Arial" w:cs="Arial"/>
          <w:b/>
          <w:sz w:val="24"/>
        </w:rPr>
        <w:t>CONTENIDO DEL PROYECTO DE LEY</w:t>
      </w:r>
      <w:r w:rsidR="00CD3266" w:rsidRPr="007E3B76">
        <w:rPr>
          <w:rFonts w:ascii="Arial" w:hAnsi="Arial" w:cs="Arial"/>
          <w:b/>
          <w:sz w:val="24"/>
        </w:rPr>
        <w:t>:</w:t>
      </w:r>
    </w:p>
    <w:p w:rsidR="006E4409" w:rsidRPr="000E57BD" w:rsidRDefault="006E4409" w:rsidP="001D6C33">
      <w:pPr>
        <w:jc w:val="both"/>
        <w:rPr>
          <w:rFonts w:ascii="Arial" w:hAnsi="Arial" w:cs="Arial"/>
          <w:b/>
          <w:sz w:val="24"/>
        </w:rPr>
      </w:pPr>
      <w:r w:rsidRPr="000E57BD">
        <w:rPr>
          <w:rFonts w:ascii="Arial" w:hAnsi="Arial" w:cs="Arial"/>
          <w:b/>
          <w:sz w:val="24"/>
        </w:rPr>
        <w:t>Artículo 1°.</w:t>
      </w:r>
      <w:r w:rsidR="000E57BD">
        <w:rPr>
          <w:rFonts w:ascii="Arial" w:hAnsi="Arial" w:cs="Arial"/>
          <w:sz w:val="24"/>
          <w:szCs w:val="24"/>
        </w:rPr>
        <w:t>Describe el objeto general del Proyecto de Ley.</w:t>
      </w:r>
    </w:p>
    <w:p w:rsidR="000E57BD" w:rsidRPr="00AC68CC" w:rsidRDefault="006E4409" w:rsidP="000E57BD">
      <w:pPr>
        <w:jc w:val="both"/>
        <w:rPr>
          <w:rFonts w:ascii="Arial" w:hAnsi="Arial" w:cs="Arial"/>
          <w:sz w:val="24"/>
          <w:u w:val="single"/>
        </w:rPr>
      </w:pPr>
      <w:r w:rsidRPr="000E57BD">
        <w:rPr>
          <w:rFonts w:ascii="Arial" w:hAnsi="Arial" w:cs="Arial"/>
          <w:b/>
          <w:sz w:val="24"/>
        </w:rPr>
        <w:t>Artículo 2°.</w:t>
      </w:r>
      <w:r w:rsidR="000E57BD">
        <w:rPr>
          <w:rFonts w:ascii="Arial" w:hAnsi="Arial" w:cs="Arial"/>
          <w:sz w:val="24"/>
        </w:rPr>
        <w:t>Adiciona un</w:t>
      </w:r>
      <w:r w:rsidR="000E57BD" w:rsidRPr="00AC68CC">
        <w:rPr>
          <w:rFonts w:ascii="Arial" w:hAnsi="Arial" w:cs="Arial"/>
          <w:sz w:val="24"/>
        </w:rPr>
        <w:t xml:space="preserve"> numeral al artículo 9° del Decreto Reglamentario 2028 de 2010, </w:t>
      </w:r>
      <w:r w:rsidR="000E57BD">
        <w:rPr>
          <w:rFonts w:ascii="Arial" w:hAnsi="Arial" w:cs="Arial"/>
          <w:sz w:val="24"/>
        </w:rPr>
        <w:t xml:space="preserve">mediante el cual se le asigna a las Corporaciones Autónomas Regionales (CAR), dentro de su competencia para el otorgamiento de licencias ambientales, otorgarla o denegarla </w:t>
      </w:r>
      <w:r w:rsidR="000E57BD" w:rsidRPr="000E57BD">
        <w:rPr>
          <w:rFonts w:ascii="Arial" w:hAnsi="Arial" w:cs="Arial"/>
          <w:sz w:val="24"/>
        </w:rPr>
        <w:t xml:space="preserve">para la construcción y operación de </w:t>
      </w:r>
      <w:r w:rsidR="000E57BD" w:rsidRPr="000E57BD">
        <w:rPr>
          <w:rFonts w:ascii="Arial" w:hAnsi="Arial" w:cs="Arial"/>
          <w:b/>
          <w:i/>
          <w:sz w:val="24"/>
        </w:rPr>
        <w:t>cementerios</w:t>
      </w:r>
      <w:r w:rsidR="000E57BD" w:rsidRPr="000E57BD">
        <w:rPr>
          <w:rFonts w:ascii="Arial" w:hAnsi="Arial" w:cs="Arial"/>
          <w:sz w:val="24"/>
        </w:rPr>
        <w:t xml:space="preserve">. </w:t>
      </w:r>
    </w:p>
    <w:p w:rsidR="002C1BC0" w:rsidRDefault="006E4409" w:rsidP="001D6C33">
      <w:pPr>
        <w:jc w:val="both"/>
        <w:rPr>
          <w:rFonts w:ascii="Arial" w:hAnsi="Arial" w:cs="Arial"/>
          <w:sz w:val="24"/>
        </w:rPr>
      </w:pPr>
      <w:r w:rsidRPr="000E57BD">
        <w:rPr>
          <w:rFonts w:ascii="Arial" w:hAnsi="Arial" w:cs="Arial"/>
          <w:b/>
          <w:sz w:val="24"/>
        </w:rPr>
        <w:t>Artículo 3°.</w:t>
      </w:r>
      <w:r w:rsidR="009B16B0">
        <w:rPr>
          <w:rFonts w:ascii="Arial" w:hAnsi="Arial" w:cs="Arial"/>
          <w:sz w:val="24"/>
        </w:rPr>
        <w:t>Hace referencia a las sanc</w:t>
      </w:r>
      <w:r w:rsidR="002C1BC0">
        <w:rPr>
          <w:rFonts w:ascii="Arial" w:hAnsi="Arial" w:cs="Arial"/>
          <w:sz w:val="24"/>
        </w:rPr>
        <w:t>iones de las cuales será objeto</w:t>
      </w:r>
      <w:r w:rsidR="009B16B0">
        <w:rPr>
          <w:rFonts w:ascii="Arial" w:hAnsi="Arial" w:cs="Arial"/>
          <w:sz w:val="24"/>
        </w:rPr>
        <w:t xml:space="preserve"> el titular de la licencia ambiental, s</w:t>
      </w:r>
      <w:r w:rsidR="002C1BC0">
        <w:rPr>
          <w:rFonts w:ascii="Arial" w:hAnsi="Arial" w:cs="Arial"/>
          <w:sz w:val="24"/>
        </w:rPr>
        <w:t xml:space="preserve">i como resultado de los procesos </w:t>
      </w:r>
      <w:r w:rsidR="002C1BC0" w:rsidRPr="00AC68CC">
        <w:rPr>
          <w:rFonts w:ascii="Arial" w:hAnsi="Arial" w:cs="Arial"/>
          <w:sz w:val="24"/>
        </w:rPr>
        <w:t>de control y seguimientos establecidos por la normatividad y reglamentación vigente</w:t>
      </w:r>
      <w:r w:rsidR="002C1BC0">
        <w:rPr>
          <w:rFonts w:ascii="Arial" w:hAnsi="Arial" w:cs="Arial"/>
          <w:sz w:val="24"/>
        </w:rPr>
        <w:t xml:space="preserve">, se llegase corroborar </w:t>
      </w:r>
      <w:r w:rsidR="002C1BC0" w:rsidRPr="00AC68CC">
        <w:rPr>
          <w:rFonts w:ascii="Arial" w:hAnsi="Arial" w:cs="Arial"/>
          <w:sz w:val="24"/>
        </w:rPr>
        <w:t>un incumpliendo total o parcial de los requisitos</w:t>
      </w:r>
      <w:r w:rsidR="002C1BC0">
        <w:rPr>
          <w:rFonts w:ascii="Arial" w:hAnsi="Arial" w:cs="Arial"/>
          <w:sz w:val="24"/>
        </w:rPr>
        <w:t xml:space="preserve"> exigidos previamente par</w:t>
      </w:r>
      <w:r w:rsidR="002C1BC0" w:rsidRPr="00AC68CC">
        <w:rPr>
          <w:rFonts w:ascii="Arial" w:hAnsi="Arial" w:cs="Arial"/>
          <w:sz w:val="24"/>
        </w:rPr>
        <w:t xml:space="preserve">a </w:t>
      </w:r>
      <w:r w:rsidR="002C1BC0">
        <w:rPr>
          <w:rFonts w:ascii="Arial" w:hAnsi="Arial" w:cs="Arial"/>
          <w:sz w:val="24"/>
        </w:rPr>
        <w:t>el otorgamiento de la licencia ambiental.</w:t>
      </w:r>
    </w:p>
    <w:p w:rsidR="006E4409" w:rsidRPr="000E57BD" w:rsidRDefault="006E4409" w:rsidP="001D6C33">
      <w:pPr>
        <w:jc w:val="both"/>
        <w:rPr>
          <w:rFonts w:ascii="Arial" w:hAnsi="Arial" w:cs="Arial"/>
          <w:b/>
          <w:sz w:val="24"/>
        </w:rPr>
      </w:pPr>
      <w:r w:rsidRPr="000E57BD">
        <w:rPr>
          <w:rFonts w:ascii="Arial" w:hAnsi="Arial" w:cs="Arial"/>
          <w:b/>
          <w:sz w:val="24"/>
        </w:rPr>
        <w:t>Artículo 4°.</w:t>
      </w:r>
      <w:r w:rsidR="0006694A" w:rsidRPr="0006694A">
        <w:rPr>
          <w:rFonts w:ascii="Arial" w:hAnsi="Arial" w:cs="Arial"/>
          <w:sz w:val="24"/>
        </w:rPr>
        <w:t xml:space="preserve"> Hace referencia al </w:t>
      </w:r>
      <w:r w:rsidR="0006694A">
        <w:rPr>
          <w:rFonts w:ascii="Arial" w:hAnsi="Arial" w:cs="Arial"/>
          <w:sz w:val="24"/>
        </w:rPr>
        <w:t>régimen de t</w:t>
      </w:r>
      <w:r w:rsidR="0006694A" w:rsidRPr="0006694A">
        <w:rPr>
          <w:rFonts w:ascii="Arial" w:hAnsi="Arial" w:cs="Arial"/>
          <w:sz w:val="24"/>
        </w:rPr>
        <w:t>ransición</w:t>
      </w:r>
      <w:r w:rsidR="0006694A">
        <w:rPr>
          <w:rFonts w:ascii="Arial" w:hAnsi="Arial" w:cs="Arial"/>
          <w:sz w:val="24"/>
        </w:rPr>
        <w:t>, p</w:t>
      </w:r>
      <w:r w:rsidR="0006694A" w:rsidRPr="00231E44">
        <w:rPr>
          <w:rFonts w:ascii="Arial" w:hAnsi="Arial" w:cs="Arial"/>
          <w:sz w:val="24"/>
        </w:rPr>
        <w:t>ara</w:t>
      </w:r>
      <w:r w:rsidR="0006694A">
        <w:rPr>
          <w:rFonts w:ascii="Arial" w:hAnsi="Arial" w:cs="Arial"/>
          <w:sz w:val="24"/>
        </w:rPr>
        <w:t xml:space="preserve"> los cementerios que operan actualmente, siendo de un año para su ajuste a la nueva normatividad</w:t>
      </w:r>
    </w:p>
    <w:p w:rsidR="006E4409" w:rsidRPr="000E57BD" w:rsidRDefault="006E4409" w:rsidP="001D6C33">
      <w:pPr>
        <w:jc w:val="both"/>
        <w:rPr>
          <w:rFonts w:ascii="Arial" w:hAnsi="Arial" w:cs="Arial"/>
          <w:b/>
          <w:sz w:val="24"/>
        </w:rPr>
      </w:pPr>
      <w:r w:rsidRPr="000E57BD">
        <w:rPr>
          <w:rFonts w:ascii="Arial" w:hAnsi="Arial" w:cs="Arial"/>
          <w:b/>
          <w:sz w:val="24"/>
        </w:rPr>
        <w:t>Artículo 5°.</w:t>
      </w:r>
      <w:r w:rsidR="00854E86" w:rsidRPr="00FF5273">
        <w:rPr>
          <w:rFonts w:ascii="Arial" w:hAnsi="Arial" w:cs="Arial"/>
          <w:sz w:val="24"/>
          <w:szCs w:val="24"/>
        </w:rPr>
        <w:t>Define la vigencia y derogatorias.</w:t>
      </w:r>
    </w:p>
    <w:p w:rsidR="00694331" w:rsidRDefault="00694331" w:rsidP="00472877">
      <w:pPr>
        <w:jc w:val="both"/>
        <w:rPr>
          <w:rFonts w:ascii="Arial" w:hAnsi="Arial" w:cs="Arial"/>
          <w:b/>
          <w:sz w:val="24"/>
          <w:szCs w:val="24"/>
        </w:rPr>
      </w:pPr>
    </w:p>
    <w:p w:rsidR="00472877" w:rsidRPr="00472877" w:rsidRDefault="00472877" w:rsidP="00472877">
      <w:pPr>
        <w:jc w:val="both"/>
        <w:rPr>
          <w:rFonts w:ascii="Arial" w:hAnsi="Arial" w:cs="Arial"/>
          <w:b/>
          <w:sz w:val="24"/>
          <w:szCs w:val="24"/>
        </w:rPr>
      </w:pPr>
      <w:r w:rsidRPr="00472877">
        <w:rPr>
          <w:rFonts w:ascii="Arial" w:hAnsi="Arial" w:cs="Arial"/>
          <w:b/>
          <w:sz w:val="24"/>
          <w:szCs w:val="24"/>
        </w:rPr>
        <w:lastRenderedPageBreak/>
        <w:t>IMPACTO FISCAL</w:t>
      </w:r>
    </w:p>
    <w:p w:rsidR="00472877" w:rsidRPr="00472877" w:rsidRDefault="00472877" w:rsidP="00472877">
      <w:pPr>
        <w:jc w:val="both"/>
        <w:rPr>
          <w:rFonts w:ascii="Arial" w:hAnsi="Arial" w:cs="Arial"/>
          <w:sz w:val="24"/>
          <w:szCs w:val="24"/>
        </w:rPr>
      </w:pPr>
      <w:r w:rsidRPr="00472877">
        <w:rPr>
          <w:rFonts w:ascii="Arial" w:hAnsi="Arial" w:cs="Arial"/>
          <w:sz w:val="24"/>
          <w:szCs w:val="24"/>
        </w:rPr>
        <w:t>De conformidad con el artículo 7 de la ley 819 de 2003, los gastos  que genere la presente iniciativa se entenderán incluidos en los presupuestos y en el Plan Operativo Anual de Inversión de la entidad competente.</w:t>
      </w:r>
    </w:p>
    <w:p w:rsidR="00472877" w:rsidRPr="00472877" w:rsidRDefault="00472877" w:rsidP="00472877">
      <w:pPr>
        <w:jc w:val="both"/>
        <w:rPr>
          <w:rFonts w:ascii="Arial" w:hAnsi="Arial" w:cs="Arial"/>
          <w:bCs/>
          <w:sz w:val="24"/>
          <w:szCs w:val="24"/>
        </w:rPr>
      </w:pPr>
      <w:r w:rsidRPr="00472877">
        <w:rPr>
          <w:rFonts w:ascii="Arial" w:hAnsi="Arial" w:cs="Arial"/>
          <w:bCs/>
          <w:sz w:val="24"/>
          <w:szCs w:val="24"/>
        </w:rPr>
        <w:t>Es relevante mencionar, para el caso en concreto, que no obstante lo anterior tenemos como sustento un pronunciamiento de la Corte Constitucional, en la Sentencia C- 911 de 2007, en la cual se puntualizó que el impacto fiscal de las normas, no puede convertirse en óbice, para que las corporaciones públicas ejerzan su función legislativa y normativa, es preciso aclarar que la iniciativa contempla que la aplicación de ésta sea progresiva en el Distrito, así:</w:t>
      </w:r>
    </w:p>
    <w:p w:rsidR="00472877" w:rsidRPr="00472877" w:rsidRDefault="00472877" w:rsidP="00472877">
      <w:pPr>
        <w:jc w:val="both"/>
        <w:rPr>
          <w:rFonts w:ascii="Arial" w:hAnsi="Arial" w:cs="Arial"/>
          <w:bCs/>
          <w:sz w:val="24"/>
          <w:szCs w:val="24"/>
        </w:rPr>
      </w:pPr>
      <w:r w:rsidRPr="00472877">
        <w:rPr>
          <w:rFonts w:ascii="Arial" w:hAnsi="Arial" w:cs="Arial"/>
          <w:bCs/>
          <w:i/>
          <w:sz w:val="24"/>
          <w:szCs w:val="24"/>
        </w:rPr>
        <w:t>“En la realidad, aceptar que las condiciones establecidas en el art.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r w:rsidRPr="00472877">
        <w:rPr>
          <w:rFonts w:ascii="Arial" w:hAnsi="Arial" w:cs="Arial"/>
          <w:bCs/>
          <w:sz w:val="24"/>
          <w:szCs w:val="24"/>
        </w:rPr>
        <w:t>”.</w:t>
      </w:r>
    </w:p>
    <w:p w:rsidR="00472877" w:rsidRPr="00472877" w:rsidRDefault="00472877" w:rsidP="00472877">
      <w:pPr>
        <w:jc w:val="both"/>
        <w:rPr>
          <w:rFonts w:ascii="Arial" w:hAnsi="Arial" w:cs="Arial"/>
          <w:bCs/>
          <w:sz w:val="24"/>
          <w:szCs w:val="24"/>
        </w:rPr>
      </w:pPr>
      <w:r w:rsidRPr="00472877">
        <w:rPr>
          <w:rFonts w:ascii="Arial" w:hAnsi="Arial" w:cs="Arial"/>
          <w:bCs/>
          <w:sz w:val="24"/>
          <w:szCs w:val="24"/>
        </w:rPr>
        <w:t>“</w:t>
      </w:r>
      <w:r w:rsidRPr="00472877">
        <w:rPr>
          <w:rFonts w:ascii="Arial" w:hAnsi="Arial" w:cs="Arial"/>
          <w:bCs/>
          <w:i/>
          <w:sz w:val="24"/>
          <w:szCs w:val="24"/>
        </w:rPr>
        <w:t>Precisamente, los obstáculos casi insuperables que se generarían para la actividad legislativa del Congreso de la República conducirían a concederle una forma de poder de veto al Ministro de Hacienda sobre las iniciativas de ley en el Parlamento</w:t>
      </w:r>
      <w:r w:rsidRPr="00472877">
        <w:rPr>
          <w:rFonts w:ascii="Arial" w:hAnsi="Arial" w:cs="Arial"/>
          <w:bCs/>
          <w:sz w:val="24"/>
          <w:szCs w:val="24"/>
        </w:rPr>
        <w:t>”</w:t>
      </w:r>
    </w:p>
    <w:p w:rsidR="00472877" w:rsidRPr="00472877" w:rsidRDefault="00472877" w:rsidP="00472877">
      <w:pPr>
        <w:jc w:val="both"/>
        <w:rPr>
          <w:rFonts w:ascii="Arial" w:hAnsi="Arial" w:cs="Arial"/>
          <w:bCs/>
          <w:sz w:val="24"/>
          <w:szCs w:val="24"/>
        </w:rPr>
      </w:pPr>
      <w:r w:rsidRPr="00472877">
        <w:rPr>
          <w:rFonts w:ascii="Arial" w:hAnsi="Arial" w:cs="Arial"/>
          <w:bCs/>
          <w:sz w:val="24"/>
          <w:szCs w:val="24"/>
        </w:rPr>
        <w:t>“</w:t>
      </w:r>
      <w:r w:rsidRPr="00472877">
        <w:rPr>
          <w:rFonts w:ascii="Arial" w:hAnsi="Arial" w:cs="Arial"/>
          <w:bCs/>
          <w:i/>
          <w:sz w:val="24"/>
          <w:szCs w:val="24"/>
        </w:rPr>
        <w:t>Es decir, el mencionado artículo debe interpretarse en el sentido de que su fin es obtener que las leyes que se dicten tengan en cuenta las realidades macroeconómicas, pero sin crear barreras insalvables en el ejercicio de la función legislativa ni crear un poder de veto legislativo en cabeza del Ministro de Hacienda</w:t>
      </w:r>
      <w:r w:rsidRPr="00472877">
        <w:rPr>
          <w:rFonts w:ascii="Arial" w:hAnsi="Arial" w:cs="Arial"/>
          <w:bCs/>
          <w:sz w:val="24"/>
          <w:szCs w:val="24"/>
        </w:rPr>
        <w:t>”</w:t>
      </w:r>
      <w:r w:rsidRPr="00472877">
        <w:rPr>
          <w:rFonts w:ascii="Arial" w:hAnsi="Arial" w:cs="Arial"/>
          <w:bCs/>
          <w:sz w:val="24"/>
          <w:szCs w:val="24"/>
          <w:vertAlign w:val="superscript"/>
        </w:rPr>
        <w:footnoteReference w:id="18"/>
      </w:r>
    </w:p>
    <w:p w:rsidR="00472877" w:rsidRPr="00472877" w:rsidRDefault="00472877" w:rsidP="00472877">
      <w:pPr>
        <w:jc w:val="both"/>
        <w:rPr>
          <w:rFonts w:ascii="Arial" w:hAnsi="Arial" w:cs="Arial"/>
          <w:iCs/>
          <w:sz w:val="24"/>
          <w:szCs w:val="24"/>
        </w:rPr>
      </w:pPr>
      <w:r w:rsidRPr="00472877">
        <w:rPr>
          <w:rFonts w:ascii="Arial" w:hAnsi="Arial" w:cs="Arial"/>
          <w:iCs/>
          <w:sz w:val="24"/>
          <w:szCs w:val="24"/>
        </w:rPr>
        <w:t>Igualmente al respecto del impacto fiscal que los proyectos de ley pudieran generar, la Corte ha dicho:</w:t>
      </w:r>
    </w:p>
    <w:p w:rsidR="00472877" w:rsidRPr="00472877" w:rsidRDefault="00472877" w:rsidP="00472877">
      <w:pPr>
        <w:jc w:val="both"/>
        <w:rPr>
          <w:rFonts w:ascii="Arial" w:hAnsi="Arial" w:cs="Arial"/>
          <w:i/>
          <w:iCs/>
          <w:sz w:val="24"/>
          <w:szCs w:val="24"/>
        </w:rPr>
      </w:pPr>
      <w:r w:rsidRPr="00472877">
        <w:rPr>
          <w:rFonts w:ascii="Arial" w:hAnsi="Arial" w:cs="Arial"/>
          <w:i/>
          <w:iCs/>
          <w:sz w:val="24"/>
          <w:szCs w:val="24"/>
        </w:rPr>
        <w:t xml:space="preserve">“Las obligaciones previstas en el artículo 7º de la Ley 819/03 constituyen un parámetro de racionalidad legislativa, que está encaminado a cumplir propósitos constitucionalmente valiosos, entre ellos el orden de las finanzas públicas, la estabilidad macroeconómica y la aplicación efectiva de las leyes. Esto último en </w:t>
      </w:r>
      <w:r w:rsidRPr="00472877">
        <w:rPr>
          <w:rFonts w:ascii="Arial" w:hAnsi="Arial" w:cs="Arial"/>
          <w:i/>
          <w:iCs/>
          <w:sz w:val="24"/>
          <w:szCs w:val="24"/>
        </w:rPr>
        <w:lastRenderedPageBreak/>
        <w:t>tanto un estudio previo de la compatibilidad entre el contenido del proyecto de ley y las proyecciones de la política económica, disminuye el margen de incertidumbre respecto de la ejecución material de las previsiones legislativas. El mandato de adecuación entre la justificación de los proyectos de ley y la planeación de la política económica, empero, no puede comprenderse como un requisito de trámite para la aprobación de las iniciativas legislativas, cuyo cumplimiento recaiga exclusivamente en el Congreso. Ello en tanto (i) el Congreso carece de las instancias de evaluación técnica para determinar el impacto fiscal de cada proyecto, la determinación de las fuentes adicionales de financiación y la compatibilidad con el marco fiscal de mediano plazo; y (ii) aceptar una interpretación de esta naturaleza constituiría una carga irrazonable para el Legislador y otorgaría un poder correlativo de veto al Ejecutivo, a través del Ministerio de Hacienda, respecto de la competencia del Congreso para hacer las leyes. Un poder de este carácter, que involucra una barrera en la función constitucional de producción normativa, se muestra incompatible con el balance entre los poderes públicos y el principio democrático. Si se considera dicho mandato como un mecanismo de racionalidad legislativa, su cumplimiento corresponde inicialmente al Ministerio de Hacienda y Crédito Público, una vez el Congreso ha valorado, mediante las herramientas que tiene a su alcance, la compatibilidad entre los gastos que genera la iniciativa legislativa y las proyecciones de la política económica trazada por el Gobierno. Así, si el Ejecutivo considera que las cámaras han efectuado un análisis de impacto fiscal erróneo, corresponde al citado Ministerio el deber de concurrir al procedimiento legislativo, en aras de ilustrar al Congreso sobre las consecuencias económicas del proyecto. El artículo 7º de la Ley 819/03 no puede interpretarse de modo tal que la falta de concurrencia del Ministerio de Hacienda y Crédito Público dentro del proceso legislativo, afecte la validez constitucional del trámite respectivo.”</w:t>
      </w:r>
    </w:p>
    <w:p w:rsidR="00472877" w:rsidRPr="00472877" w:rsidRDefault="00472877" w:rsidP="00472877">
      <w:pPr>
        <w:jc w:val="both"/>
        <w:rPr>
          <w:rFonts w:ascii="Arial" w:hAnsi="Arial" w:cs="Arial"/>
          <w:i/>
          <w:sz w:val="24"/>
          <w:szCs w:val="24"/>
          <w:lang w:val="es-CO"/>
        </w:rPr>
      </w:pPr>
      <w:r w:rsidRPr="00472877">
        <w:rPr>
          <w:rFonts w:ascii="Arial" w:hAnsi="Arial" w:cs="Arial"/>
          <w:i/>
          <w:iCs/>
          <w:sz w:val="24"/>
          <w:szCs w:val="24"/>
        </w:rPr>
        <w:t>“</w:t>
      </w:r>
      <w:r w:rsidRPr="00472877">
        <w:rPr>
          <w:rFonts w:ascii="Arial" w:hAnsi="Arial" w:cs="Arial"/>
          <w:i/>
          <w:iCs/>
          <w:sz w:val="24"/>
          <w:szCs w:val="24"/>
          <w:lang w:val="es-CO"/>
        </w:rPr>
        <w:t xml:space="preserve">Como lo ha resaltado la Corte, si bien compete a los miembros del Congreso la responsabilidad de estimar y tomar en cuenta el esfuerzo fiscal que el proyecto bajo estudio puede implicar para el erario público, es claro que es el Poder Ejecutivo, y al interior de aquél el Ministerio de Hacienda y Crédito Público, el que dispone de los elementos técnicos necesarios para valorar correctamente ese impacto, y a partir de ello, llegado el caso, demostrar a los miembros del órgano legislativo la inviabilidad financiera de la propuesta que se estudia. De allí que esta corporación haya señalado que corresponde al Gobierno el esfuerzo de llevar a los legisladores a la convicción de que el proyecto por ellos propuesto no debe ser aprobado, y que en caso de resultar infructuoso ese empeño, ello no constituye </w:t>
      </w:r>
      <w:r w:rsidRPr="00472877">
        <w:rPr>
          <w:rFonts w:ascii="Arial" w:hAnsi="Arial" w:cs="Arial"/>
          <w:i/>
          <w:iCs/>
          <w:sz w:val="24"/>
          <w:szCs w:val="24"/>
          <w:lang w:val="es-CO"/>
        </w:rPr>
        <w:lastRenderedPageBreak/>
        <w:t>razón suficiente para tener por incumplido el indicado requisito, en caso de que las cámaras finalmente decidan aprobar la iniciativa cuestionada.”</w:t>
      </w:r>
      <w:r w:rsidRPr="00472877">
        <w:rPr>
          <w:rFonts w:ascii="Arial" w:hAnsi="Arial" w:cs="Arial"/>
          <w:i/>
          <w:iCs/>
          <w:sz w:val="24"/>
          <w:szCs w:val="24"/>
          <w:vertAlign w:val="superscript"/>
          <w:lang w:val="es-CO"/>
        </w:rPr>
        <w:footnoteReference w:id="19"/>
      </w:r>
    </w:p>
    <w:p w:rsidR="001F22ED" w:rsidRDefault="001F22ED" w:rsidP="00472877">
      <w:pPr>
        <w:jc w:val="both"/>
        <w:rPr>
          <w:rFonts w:ascii="Arial" w:hAnsi="Arial" w:cs="Arial"/>
          <w:sz w:val="24"/>
          <w:szCs w:val="24"/>
        </w:rPr>
      </w:pPr>
    </w:p>
    <w:p w:rsidR="001F22ED" w:rsidRDefault="00472877" w:rsidP="00472877">
      <w:pPr>
        <w:jc w:val="both"/>
        <w:rPr>
          <w:rFonts w:ascii="Arial" w:hAnsi="Arial" w:cs="Arial"/>
          <w:sz w:val="24"/>
          <w:szCs w:val="24"/>
        </w:rPr>
      </w:pPr>
      <w:r w:rsidRPr="00472877">
        <w:rPr>
          <w:rFonts w:ascii="Arial" w:hAnsi="Arial" w:cs="Arial"/>
          <w:sz w:val="24"/>
          <w:szCs w:val="24"/>
        </w:rPr>
        <w:t>Por lo anterior, ponemos a consideración del Congreso de la República el presente proyecto, esperando contar con su aprobación.</w:t>
      </w:r>
    </w:p>
    <w:p w:rsidR="001F22ED" w:rsidRDefault="001F22ED" w:rsidP="00472877">
      <w:pPr>
        <w:jc w:val="both"/>
        <w:rPr>
          <w:rFonts w:ascii="Arial" w:hAnsi="Arial" w:cs="Arial"/>
          <w:sz w:val="24"/>
          <w:szCs w:val="24"/>
        </w:rPr>
      </w:pPr>
    </w:p>
    <w:p w:rsidR="001F22ED" w:rsidRDefault="001F22ED" w:rsidP="00472877">
      <w:pPr>
        <w:jc w:val="both"/>
        <w:rPr>
          <w:rFonts w:ascii="Arial" w:hAnsi="Arial" w:cs="Arial"/>
          <w:sz w:val="24"/>
          <w:szCs w:val="24"/>
        </w:rPr>
      </w:pPr>
      <w:r>
        <w:rPr>
          <w:rFonts w:ascii="Arial" w:hAnsi="Arial" w:cs="Arial"/>
          <w:sz w:val="24"/>
          <w:szCs w:val="24"/>
        </w:rPr>
        <w:t>De los Honorables Congresistas:</w:t>
      </w:r>
    </w:p>
    <w:p w:rsidR="001F22ED" w:rsidRPr="00472877" w:rsidRDefault="001F22ED" w:rsidP="00472877">
      <w:pPr>
        <w:jc w:val="both"/>
        <w:rPr>
          <w:rFonts w:ascii="Arial" w:hAnsi="Arial" w:cs="Arial"/>
          <w:sz w:val="24"/>
          <w:szCs w:val="24"/>
        </w:rPr>
      </w:pPr>
    </w:p>
    <w:p w:rsidR="003B7D76" w:rsidRDefault="003B7D76" w:rsidP="00472877">
      <w:pPr>
        <w:jc w:val="both"/>
        <w:rPr>
          <w:rFonts w:ascii="Arial" w:hAnsi="Arial" w:cs="Arial"/>
          <w:b/>
          <w:sz w:val="24"/>
          <w:szCs w:val="24"/>
        </w:rPr>
      </w:pPr>
    </w:p>
    <w:p w:rsidR="003B7D76" w:rsidRDefault="003B7D76" w:rsidP="00472877">
      <w:pPr>
        <w:jc w:val="both"/>
        <w:rPr>
          <w:rFonts w:ascii="Arial" w:hAnsi="Arial" w:cs="Arial"/>
          <w:b/>
          <w:sz w:val="24"/>
          <w:szCs w:val="24"/>
        </w:rPr>
      </w:pPr>
    </w:p>
    <w:p w:rsidR="003B7D76" w:rsidRPr="00472877" w:rsidRDefault="003B7D76" w:rsidP="00472877">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3B7D76" w:rsidRDefault="003B7D76" w:rsidP="003B7D76">
      <w:pPr>
        <w:jc w:val="both"/>
        <w:rPr>
          <w:rFonts w:ascii="Arial" w:hAnsi="Arial" w:cs="Arial"/>
          <w:b/>
          <w:sz w:val="24"/>
          <w:szCs w:val="24"/>
        </w:rPr>
      </w:pPr>
    </w:p>
    <w:p w:rsidR="003B7D76" w:rsidRDefault="003B7D76" w:rsidP="003B7D76">
      <w:pPr>
        <w:jc w:val="both"/>
        <w:rPr>
          <w:rFonts w:ascii="Arial" w:hAnsi="Arial" w:cs="Arial"/>
          <w:b/>
          <w:sz w:val="24"/>
          <w:szCs w:val="24"/>
        </w:rPr>
      </w:pPr>
    </w:p>
    <w:p w:rsidR="003B7D76" w:rsidRPr="00472877" w:rsidRDefault="003B7D76" w:rsidP="003B7D76">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3B7D76" w:rsidRDefault="003B7D76" w:rsidP="003B7D76">
      <w:pPr>
        <w:jc w:val="both"/>
        <w:rPr>
          <w:rFonts w:ascii="Arial" w:hAnsi="Arial" w:cs="Arial"/>
          <w:b/>
          <w:sz w:val="24"/>
          <w:szCs w:val="24"/>
        </w:rPr>
      </w:pPr>
    </w:p>
    <w:p w:rsidR="003B7D76" w:rsidRDefault="003B7D76" w:rsidP="003B7D76">
      <w:pPr>
        <w:jc w:val="both"/>
        <w:rPr>
          <w:rFonts w:ascii="Arial" w:hAnsi="Arial" w:cs="Arial"/>
          <w:b/>
          <w:sz w:val="24"/>
          <w:szCs w:val="24"/>
        </w:rPr>
      </w:pPr>
    </w:p>
    <w:p w:rsidR="003B7D76" w:rsidRPr="00472877" w:rsidRDefault="003B7D76" w:rsidP="003B7D76">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7E3B76" w:rsidRDefault="007E3B76" w:rsidP="00143BD4">
      <w:pPr>
        <w:jc w:val="center"/>
        <w:rPr>
          <w:rFonts w:ascii="Arial" w:hAnsi="Arial" w:cs="Arial"/>
          <w:b/>
          <w:sz w:val="28"/>
          <w:szCs w:val="24"/>
        </w:rPr>
      </w:pPr>
    </w:p>
    <w:p w:rsidR="003B7D76" w:rsidRDefault="003B7D76">
      <w:pPr>
        <w:rPr>
          <w:rFonts w:ascii="Arial" w:hAnsi="Arial" w:cs="Arial"/>
          <w:b/>
          <w:sz w:val="28"/>
          <w:szCs w:val="24"/>
        </w:rPr>
      </w:pPr>
    </w:p>
    <w:p w:rsidR="001F22ED" w:rsidRDefault="001F22ED">
      <w:pPr>
        <w:rPr>
          <w:rFonts w:ascii="Arial" w:hAnsi="Arial" w:cs="Arial"/>
          <w:b/>
          <w:sz w:val="28"/>
          <w:szCs w:val="24"/>
        </w:rPr>
      </w:pPr>
    </w:p>
    <w:p w:rsidR="001F22ED" w:rsidRDefault="001F22ED">
      <w:pPr>
        <w:rPr>
          <w:rFonts w:ascii="Arial" w:hAnsi="Arial" w:cs="Arial"/>
          <w:b/>
          <w:sz w:val="28"/>
          <w:szCs w:val="24"/>
        </w:rPr>
      </w:pPr>
    </w:p>
    <w:p w:rsidR="001F22ED" w:rsidRDefault="001F22ED">
      <w:pPr>
        <w:rPr>
          <w:rFonts w:ascii="Arial" w:hAnsi="Arial" w:cs="Arial"/>
          <w:b/>
          <w:sz w:val="28"/>
          <w:szCs w:val="24"/>
        </w:rPr>
      </w:pPr>
    </w:p>
    <w:p w:rsidR="001F22ED" w:rsidRDefault="001F22ED">
      <w:pPr>
        <w:rPr>
          <w:rFonts w:ascii="Arial" w:hAnsi="Arial" w:cs="Arial"/>
          <w:b/>
          <w:sz w:val="28"/>
          <w:szCs w:val="24"/>
        </w:rPr>
      </w:pPr>
    </w:p>
    <w:p w:rsidR="003B7D76" w:rsidRDefault="00BE70EE" w:rsidP="00143BD4">
      <w:pPr>
        <w:jc w:val="center"/>
        <w:rPr>
          <w:rFonts w:ascii="Arial" w:hAnsi="Arial" w:cs="Arial"/>
          <w:b/>
          <w:sz w:val="28"/>
          <w:szCs w:val="24"/>
        </w:rPr>
      </w:pPr>
      <w:r w:rsidRPr="002451FE">
        <w:rPr>
          <w:rFonts w:ascii="Arial" w:hAnsi="Arial" w:cs="Arial"/>
          <w:b/>
          <w:sz w:val="28"/>
          <w:szCs w:val="24"/>
        </w:rPr>
        <w:t>PROYECTO DE LEY N</w:t>
      </w:r>
      <w:r w:rsidR="00694331">
        <w:rPr>
          <w:rFonts w:ascii="Arial" w:hAnsi="Arial" w:cs="Arial"/>
          <w:b/>
          <w:sz w:val="28"/>
          <w:szCs w:val="24"/>
        </w:rPr>
        <w:t xml:space="preserve">o. </w:t>
      </w:r>
      <w:r w:rsidRPr="002451FE">
        <w:rPr>
          <w:rFonts w:ascii="Arial" w:hAnsi="Arial" w:cs="Arial"/>
          <w:b/>
          <w:sz w:val="28"/>
          <w:szCs w:val="24"/>
        </w:rPr>
        <w:t xml:space="preserve">____ DE 2012 </w:t>
      </w:r>
    </w:p>
    <w:p w:rsidR="00694331" w:rsidRDefault="00694331" w:rsidP="00143BD4">
      <w:pPr>
        <w:jc w:val="center"/>
        <w:rPr>
          <w:rFonts w:ascii="Arial" w:hAnsi="Arial" w:cs="Arial"/>
          <w:b/>
          <w:sz w:val="28"/>
          <w:szCs w:val="24"/>
        </w:rPr>
      </w:pPr>
    </w:p>
    <w:p w:rsidR="00694331" w:rsidRDefault="00694331" w:rsidP="00694331">
      <w:pPr>
        <w:jc w:val="center"/>
        <w:rPr>
          <w:rFonts w:ascii="Arial" w:hAnsi="Arial" w:cs="Arial"/>
          <w:b/>
          <w:sz w:val="28"/>
          <w:szCs w:val="24"/>
        </w:rPr>
      </w:pPr>
      <w:r w:rsidRPr="003B7D76">
        <w:rPr>
          <w:rFonts w:ascii="Arial" w:hAnsi="Arial" w:cs="Arial"/>
          <w:b/>
          <w:sz w:val="28"/>
          <w:szCs w:val="24"/>
        </w:rPr>
        <w:t>“Mediante el cual se fortalecen las medidas para la protección de las aguas subterráneas”</w:t>
      </w:r>
    </w:p>
    <w:p w:rsidR="00BE70EE" w:rsidRDefault="00BE70EE" w:rsidP="00143BD4">
      <w:pPr>
        <w:jc w:val="center"/>
        <w:rPr>
          <w:rFonts w:ascii="Arial" w:hAnsi="Arial" w:cs="Arial"/>
          <w:b/>
          <w:sz w:val="28"/>
          <w:szCs w:val="24"/>
        </w:rPr>
      </w:pPr>
    </w:p>
    <w:p w:rsidR="00694331" w:rsidRDefault="00694331" w:rsidP="00143BD4">
      <w:pPr>
        <w:jc w:val="center"/>
        <w:rPr>
          <w:rFonts w:ascii="Arial" w:hAnsi="Arial" w:cs="Arial"/>
          <w:b/>
          <w:sz w:val="28"/>
          <w:szCs w:val="24"/>
        </w:rPr>
      </w:pPr>
      <w:r>
        <w:rPr>
          <w:rFonts w:ascii="Arial" w:hAnsi="Arial" w:cs="Arial"/>
          <w:b/>
          <w:sz w:val="28"/>
          <w:szCs w:val="24"/>
        </w:rPr>
        <w:t>EL CONGRESO DE COLOMBIA</w:t>
      </w:r>
    </w:p>
    <w:p w:rsidR="00694331" w:rsidRDefault="00694331" w:rsidP="00143BD4">
      <w:pPr>
        <w:jc w:val="center"/>
        <w:rPr>
          <w:rFonts w:ascii="Arial" w:hAnsi="Arial" w:cs="Arial"/>
          <w:b/>
          <w:sz w:val="28"/>
          <w:szCs w:val="24"/>
        </w:rPr>
      </w:pPr>
    </w:p>
    <w:p w:rsidR="00694331" w:rsidRDefault="00694331" w:rsidP="00143BD4">
      <w:pPr>
        <w:jc w:val="center"/>
        <w:rPr>
          <w:rFonts w:ascii="Arial" w:hAnsi="Arial" w:cs="Arial"/>
          <w:b/>
          <w:sz w:val="28"/>
          <w:szCs w:val="24"/>
        </w:rPr>
      </w:pPr>
      <w:r>
        <w:rPr>
          <w:rFonts w:ascii="Arial" w:hAnsi="Arial" w:cs="Arial"/>
          <w:b/>
          <w:sz w:val="28"/>
          <w:szCs w:val="24"/>
        </w:rPr>
        <w:t>DECRETA:</w:t>
      </w:r>
    </w:p>
    <w:p w:rsidR="00694331" w:rsidRDefault="00694331" w:rsidP="00143BD4">
      <w:pPr>
        <w:jc w:val="center"/>
        <w:rPr>
          <w:rFonts w:ascii="Arial" w:hAnsi="Arial" w:cs="Arial"/>
          <w:b/>
          <w:sz w:val="28"/>
          <w:szCs w:val="24"/>
        </w:rPr>
      </w:pPr>
    </w:p>
    <w:p w:rsidR="0098521D" w:rsidRPr="00AC68CC" w:rsidRDefault="000C0317" w:rsidP="001D6C33">
      <w:pPr>
        <w:jc w:val="both"/>
        <w:rPr>
          <w:rFonts w:ascii="Arial" w:hAnsi="Arial" w:cs="Arial"/>
          <w:color w:val="FF0000"/>
          <w:sz w:val="24"/>
        </w:rPr>
      </w:pPr>
      <w:r w:rsidRPr="007E3B76">
        <w:rPr>
          <w:rFonts w:ascii="Arial" w:hAnsi="Arial" w:cs="Arial"/>
          <w:b/>
          <w:sz w:val="24"/>
        </w:rPr>
        <w:t>Artículo 1°.</w:t>
      </w:r>
      <w:r w:rsidR="007E3B76">
        <w:rPr>
          <w:rFonts w:ascii="Arial" w:hAnsi="Arial" w:cs="Arial"/>
          <w:b/>
          <w:i/>
          <w:sz w:val="24"/>
        </w:rPr>
        <w:t xml:space="preserve">Objeto. </w:t>
      </w:r>
      <w:r w:rsidR="00B16A5F" w:rsidRPr="00AC68CC">
        <w:rPr>
          <w:rFonts w:ascii="Arial" w:hAnsi="Arial" w:cs="Arial"/>
          <w:sz w:val="24"/>
          <w:szCs w:val="24"/>
        </w:rPr>
        <w:t>El objeto de la presente ley</w:t>
      </w:r>
      <w:r w:rsidR="00264752" w:rsidRPr="00AC68CC">
        <w:rPr>
          <w:rFonts w:ascii="Arial" w:hAnsi="Arial" w:cs="Arial"/>
          <w:sz w:val="24"/>
          <w:szCs w:val="24"/>
        </w:rPr>
        <w:t>,</w:t>
      </w:r>
      <w:r w:rsidR="00B16A5F" w:rsidRPr="00AC68CC">
        <w:rPr>
          <w:rFonts w:ascii="Arial" w:hAnsi="Arial" w:cs="Arial"/>
          <w:sz w:val="24"/>
          <w:szCs w:val="24"/>
        </w:rPr>
        <w:t xml:space="preserve"> es </w:t>
      </w:r>
      <w:r w:rsidR="00DB11A8" w:rsidRPr="00AC68CC">
        <w:rPr>
          <w:rFonts w:ascii="Arial" w:hAnsi="Arial" w:cs="Arial"/>
          <w:sz w:val="24"/>
          <w:szCs w:val="24"/>
        </w:rPr>
        <w:t xml:space="preserve">el fortalecimiento de las medidas establecidas </w:t>
      </w:r>
      <w:r w:rsidR="00AC68CC">
        <w:rPr>
          <w:rFonts w:ascii="Arial" w:hAnsi="Arial" w:cs="Arial"/>
          <w:sz w:val="24"/>
          <w:szCs w:val="24"/>
        </w:rPr>
        <w:t>legalmente,</w:t>
      </w:r>
      <w:r w:rsidR="00DB11A8" w:rsidRPr="00AC68CC">
        <w:rPr>
          <w:rFonts w:ascii="Arial" w:hAnsi="Arial" w:cs="Arial"/>
          <w:sz w:val="24"/>
          <w:szCs w:val="24"/>
        </w:rPr>
        <w:t xml:space="preserve"> para </w:t>
      </w:r>
      <w:r w:rsidR="00B16A5F" w:rsidRPr="00AC68CC">
        <w:rPr>
          <w:rFonts w:ascii="Arial" w:hAnsi="Arial" w:cs="Arial"/>
          <w:sz w:val="24"/>
          <w:szCs w:val="24"/>
        </w:rPr>
        <w:t>e</w:t>
      </w:r>
      <w:r w:rsidR="001627BB" w:rsidRPr="00AC68CC">
        <w:rPr>
          <w:rFonts w:ascii="Arial" w:hAnsi="Arial" w:cs="Arial"/>
          <w:sz w:val="24"/>
          <w:szCs w:val="24"/>
        </w:rPr>
        <w:t>vit</w:t>
      </w:r>
      <w:r w:rsidR="00DB11A8" w:rsidRPr="00AC68CC">
        <w:rPr>
          <w:rFonts w:ascii="Arial" w:hAnsi="Arial" w:cs="Arial"/>
          <w:sz w:val="24"/>
          <w:szCs w:val="24"/>
        </w:rPr>
        <w:t>ar</w:t>
      </w:r>
      <w:r w:rsidR="001627BB" w:rsidRPr="00AC68CC">
        <w:rPr>
          <w:rFonts w:ascii="Arial" w:hAnsi="Arial" w:cs="Arial"/>
          <w:sz w:val="24"/>
        </w:rPr>
        <w:t>la contaminación</w:t>
      </w:r>
      <w:r w:rsidR="00CD3266">
        <w:rPr>
          <w:rFonts w:ascii="Arial" w:hAnsi="Arial" w:cs="Arial"/>
          <w:sz w:val="24"/>
        </w:rPr>
        <w:t>de las aguas subterráneas</w:t>
      </w:r>
      <w:r w:rsidR="00264752" w:rsidRPr="00AC68CC">
        <w:rPr>
          <w:rFonts w:ascii="Arial" w:hAnsi="Arial" w:cs="Arial"/>
          <w:sz w:val="24"/>
        </w:rPr>
        <w:t xml:space="preserve">, como resultado de </w:t>
      </w:r>
      <w:r w:rsidR="00BB7C1D" w:rsidRPr="00AC68CC">
        <w:rPr>
          <w:rFonts w:ascii="Arial" w:hAnsi="Arial" w:cs="Arial"/>
          <w:sz w:val="24"/>
        </w:rPr>
        <w:t>acciones</w:t>
      </w:r>
      <w:r w:rsidR="00264752" w:rsidRPr="00AC68CC">
        <w:rPr>
          <w:rFonts w:ascii="Arial" w:hAnsi="Arial" w:cs="Arial"/>
          <w:sz w:val="24"/>
        </w:rPr>
        <w:t xml:space="preserve"> generadas por el hombre</w:t>
      </w:r>
      <w:r w:rsidR="00BB7C1D" w:rsidRPr="00AC68CC">
        <w:rPr>
          <w:rFonts w:ascii="Arial" w:hAnsi="Arial" w:cs="Arial"/>
          <w:sz w:val="24"/>
        </w:rPr>
        <w:t>, en el desarrollo</w:t>
      </w:r>
      <w:r w:rsidR="00323016">
        <w:rPr>
          <w:rFonts w:ascii="Arial" w:hAnsi="Arial" w:cs="Arial"/>
          <w:sz w:val="24"/>
        </w:rPr>
        <w:t xml:space="preserve"> de cualquier actividad</w:t>
      </w:r>
      <w:r w:rsidR="00264752" w:rsidRPr="00AC68CC">
        <w:rPr>
          <w:rFonts w:ascii="Arial" w:hAnsi="Arial" w:cs="Arial"/>
          <w:sz w:val="24"/>
        </w:rPr>
        <w:t xml:space="preserve"> que de acuerdo con la ley y los reglamentos,pueda producir deterioro grave a </w:t>
      </w:r>
      <w:r w:rsidR="00DB11A8" w:rsidRPr="00AC68CC">
        <w:rPr>
          <w:rFonts w:ascii="Arial" w:hAnsi="Arial" w:cs="Arial"/>
          <w:sz w:val="24"/>
        </w:rPr>
        <w:t xml:space="preserve">los </w:t>
      </w:r>
      <w:r w:rsidR="00264752" w:rsidRPr="00AC68CC">
        <w:rPr>
          <w:rFonts w:ascii="Arial" w:hAnsi="Arial" w:cs="Arial"/>
          <w:sz w:val="24"/>
        </w:rPr>
        <w:t>recursos naturales renovables o al medioambiente</w:t>
      </w:r>
      <w:r w:rsidR="00CD3266">
        <w:rPr>
          <w:rFonts w:ascii="Arial" w:hAnsi="Arial" w:cs="Arial"/>
          <w:sz w:val="24"/>
        </w:rPr>
        <w:t>.</w:t>
      </w:r>
    </w:p>
    <w:p w:rsidR="003C06B5" w:rsidRPr="00AC68CC" w:rsidRDefault="00320EA3" w:rsidP="003C06B5">
      <w:pPr>
        <w:jc w:val="both"/>
        <w:rPr>
          <w:rFonts w:ascii="Arial" w:hAnsi="Arial" w:cs="Arial"/>
          <w:sz w:val="24"/>
        </w:rPr>
      </w:pPr>
      <w:r w:rsidRPr="007E3B76">
        <w:rPr>
          <w:rFonts w:ascii="Arial" w:hAnsi="Arial" w:cs="Arial"/>
          <w:b/>
          <w:sz w:val="24"/>
        </w:rPr>
        <w:t>Artículo 2°.</w:t>
      </w:r>
      <w:r w:rsidR="009A6C05" w:rsidRPr="00AC68CC">
        <w:rPr>
          <w:rFonts w:ascii="Arial" w:hAnsi="Arial" w:cs="Arial"/>
          <w:sz w:val="24"/>
        </w:rPr>
        <w:t>Adiciónese e</w:t>
      </w:r>
      <w:r w:rsidR="003C06B5" w:rsidRPr="00AC68CC">
        <w:rPr>
          <w:rFonts w:ascii="Arial" w:hAnsi="Arial" w:cs="Arial"/>
          <w:sz w:val="24"/>
        </w:rPr>
        <w:t>l</w:t>
      </w:r>
      <w:r w:rsidR="009A6C05" w:rsidRPr="00AC68CC">
        <w:rPr>
          <w:rFonts w:ascii="Arial" w:hAnsi="Arial" w:cs="Arial"/>
          <w:sz w:val="24"/>
        </w:rPr>
        <w:t xml:space="preserve"> numeral 10 A, al</w:t>
      </w:r>
      <w:r w:rsidR="003C06B5" w:rsidRPr="00AC68CC">
        <w:rPr>
          <w:rFonts w:ascii="Arial" w:hAnsi="Arial" w:cs="Arial"/>
          <w:sz w:val="24"/>
        </w:rPr>
        <w:t xml:space="preserve"> artículo 9° del Decreto </w:t>
      </w:r>
      <w:r w:rsidR="009A6C05" w:rsidRPr="00AC68CC">
        <w:rPr>
          <w:rFonts w:ascii="Arial" w:hAnsi="Arial" w:cs="Arial"/>
          <w:sz w:val="24"/>
        </w:rPr>
        <w:t xml:space="preserve">Reglamentario </w:t>
      </w:r>
      <w:r w:rsidR="003C06B5" w:rsidRPr="00AC68CC">
        <w:rPr>
          <w:rFonts w:ascii="Arial" w:hAnsi="Arial" w:cs="Arial"/>
          <w:sz w:val="24"/>
        </w:rPr>
        <w:t>2028 de 2010</w:t>
      </w:r>
      <w:r w:rsidR="009A6C05" w:rsidRPr="00AC68CC">
        <w:rPr>
          <w:rFonts w:ascii="Arial" w:hAnsi="Arial" w:cs="Arial"/>
          <w:sz w:val="24"/>
        </w:rPr>
        <w:t>, el cual</w:t>
      </w:r>
      <w:r w:rsidR="003C06B5" w:rsidRPr="00AC68CC">
        <w:rPr>
          <w:rFonts w:ascii="Arial" w:hAnsi="Arial" w:cs="Arial"/>
          <w:sz w:val="24"/>
        </w:rPr>
        <w:t xml:space="preserve"> quedará así: </w:t>
      </w:r>
    </w:p>
    <w:p w:rsidR="0098521D" w:rsidRPr="00AC68CC" w:rsidRDefault="003C06B5" w:rsidP="003C06B5">
      <w:pPr>
        <w:jc w:val="both"/>
        <w:rPr>
          <w:rFonts w:ascii="Arial" w:hAnsi="Arial" w:cs="Arial"/>
          <w:i/>
          <w:sz w:val="24"/>
        </w:rPr>
      </w:pPr>
      <w:r w:rsidRPr="00AC68CC">
        <w:rPr>
          <w:rFonts w:ascii="Arial" w:hAnsi="Arial" w:cs="Arial"/>
          <w:b/>
          <w:i/>
          <w:sz w:val="24"/>
        </w:rPr>
        <w:t>Competencia de las Corporaciones Autónomas Regionales</w:t>
      </w:r>
      <w:r w:rsidRPr="00AC68CC">
        <w:rPr>
          <w:rFonts w:ascii="Arial" w:hAnsi="Arial" w:cs="Arial"/>
          <w:i/>
          <w:sz w:val="24"/>
        </w:rPr>
        <w:t>. Las Corporaciones Autónomas Regionales, las de Desarrollo Sostenible, los Grandes Centros Urbanos y las autoridades ambientales creadas mediante la Ley 768 de 2002, otorgarán o negarán la licencia ambiental para los siguientes proyectos, obras o actividades, que se ejecuten en el área de su jurisdicción.</w:t>
      </w:r>
    </w:p>
    <w:p w:rsidR="003C06B5" w:rsidRPr="00AC68CC" w:rsidRDefault="003C06B5" w:rsidP="003C06B5">
      <w:pPr>
        <w:jc w:val="both"/>
        <w:rPr>
          <w:rFonts w:ascii="Arial" w:hAnsi="Arial" w:cs="Arial"/>
          <w:sz w:val="24"/>
          <w:u w:val="single"/>
        </w:rPr>
      </w:pPr>
      <w:r w:rsidRPr="00AC68CC">
        <w:rPr>
          <w:rFonts w:ascii="Arial" w:hAnsi="Arial" w:cs="Arial"/>
          <w:b/>
          <w:sz w:val="24"/>
          <w:u w:val="single"/>
        </w:rPr>
        <w:t>10.</w:t>
      </w:r>
      <w:r w:rsidR="0095567F" w:rsidRPr="00AC68CC">
        <w:rPr>
          <w:rFonts w:ascii="Arial" w:hAnsi="Arial" w:cs="Arial"/>
          <w:b/>
          <w:sz w:val="24"/>
          <w:u w:val="single"/>
        </w:rPr>
        <w:t xml:space="preserve"> A.</w:t>
      </w:r>
      <w:r w:rsidRPr="00AC68CC">
        <w:rPr>
          <w:rFonts w:ascii="Arial" w:hAnsi="Arial" w:cs="Arial"/>
          <w:sz w:val="24"/>
          <w:u w:val="single"/>
        </w:rPr>
        <w:t xml:space="preserve">La construcción y operación de instalaciones </w:t>
      </w:r>
      <w:r w:rsidR="00C7235F" w:rsidRPr="00AC68CC">
        <w:rPr>
          <w:rFonts w:ascii="Arial" w:hAnsi="Arial" w:cs="Arial"/>
          <w:sz w:val="24"/>
          <w:u w:val="single"/>
        </w:rPr>
        <w:t>como los</w:t>
      </w:r>
      <w:r w:rsidR="00240967" w:rsidRPr="00AC68CC">
        <w:rPr>
          <w:rFonts w:ascii="Arial" w:hAnsi="Arial" w:cs="Arial"/>
          <w:b/>
          <w:i/>
          <w:sz w:val="24"/>
          <w:u w:val="single"/>
        </w:rPr>
        <w:t xml:space="preserve">cementerios, </w:t>
      </w:r>
      <w:r w:rsidR="00240967" w:rsidRPr="00AC68CC">
        <w:rPr>
          <w:rFonts w:ascii="Arial" w:hAnsi="Arial" w:cs="Arial"/>
          <w:sz w:val="24"/>
          <w:u w:val="single"/>
        </w:rPr>
        <w:t>los cuales tienen como objeto, el</w:t>
      </w:r>
      <w:r w:rsidR="0095567F" w:rsidRPr="00AC68CC">
        <w:rPr>
          <w:rFonts w:ascii="Arial" w:hAnsi="Arial" w:cs="Arial"/>
          <w:sz w:val="24"/>
          <w:u w:val="single"/>
        </w:rPr>
        <w:t xml:space="preserve">almacenamiento, tratamiento, procesamiento </w:t>
      </w:r>
      <w:r w:rsidRPr="00AC68CC">
        <w:rPr>
          <w:rFonts w:ascii="Arial" w:hAnsi="Arial" w:cs="Arial"/>
          <w:sz w:val="24"/>
          <w:u w:val="single"/>
        </w:rPr>
        <w:t>y/o disposición final de residuos o desechos peligrosos</w:t>
      </w:r>
      <w:r w:rsidR="00665725" w:rsidRPr="00AC68CC">
        <w:rPr>
          <w:rFonts w:ascii="Arial" w:hAnsi="Arial" w:cs="Arial"/>
          <w:sz w:val="24"/>
          <w:u w:val="single"/>
        </w:rPr>
        <w:t>, como resultado de</w:t>
      </w:r>
      <w:r w:rsidR="00865084" w:rsidRPr="00AC68CC">
        <w:rPr>
          <w:rFonts w:ascii="Arial" w:hAnsi="Arial" w:cs="Arial"/>
          <w:sz w:val="24"/>
          <w:u w:val="single"/>
        </w:rPr>
        <w:t xml:space="preserve">l proceso de cremación o </w:t>
      </w:r>
      <w:r w:rsidR="00665725" w:rsidRPr="00AC68CC">
        <w:rPr>
          <w:rFonts w:ascii="Arial" w:hAnsi="Arial" w:cs="Arial"/>
          <w:sz w:val="24"/>
          <w:u w:val="single"/>
        </w:rPr>
        <w:t xml:space="preserve">descomposición de </w:t>
      </w:r>
      <w:r w:rsidR="00865084" w:rsidRPr="00AC68CC">
        <w:rPr>
          <w:rFonts w:ascii="Arial" w:hAnsi="Arial" w:cs="Arial"/>
          <w:sz w:val="24"/>
          <w:u w:val="single"/>
        </w:rPr>
        <w:t>restos humanos, que tiene lugar en sus instalaciones</w:t>
      </w:r>
      <w:r w:rsidRPr="00AC68CC">
        <w:rPr>
          <w:rFonts w:ascii="Arial" w:hAnsi="Arial" w:cs="Arial"/>
          <w:sz w:val="24"/>
          <w:u w:val="single"/>
        </w:rPr>
        <w:t>.</w:t>
      </w:r>
    </w:p>
    <w:p w:rsidR="0098521D" w:rsidRPr="00AC68CC" w:rsidRDefault="009A6C05" w:rsidP="001D6C33">
      <w:pPr>
        <w:jc w:val="both"/>
        <w:rPr>
          <w:rFonts w:ascii="Arial" w:hAnsi="Arial" w:cs="Arial"/>
          <w:sz w:val="24"/>
        </w:rPr>
      </w:pPr>
      <w:r w:rsidRPr="007E3B76">
        <w:rPr>
          <w:rFonts w:ascii="Arial" w:hAnsi="Arial" w:cs="Arial"/>
          <w:b/>
          <w:sz w:val="24"/>
        </w:rPr>
        <w:lastRenderedPageBreak/>
        <w:t xml:space="preserve">Artículo 3°. </w:t>
      </w:r>
      <w:r w:rsidR="00323016" w:rsidRPr="007E3B76">
        <w:rPr>
          <w:rFonts w:ascii="Arial" w:hAnsi="Arial" w:cs="Arial"/>
          <w:b/>
          <w:i/>
          <w:sz w:val="24"/>
        </w:rPr>
        <w:t>Sanciones</w:t>
      </w:r>
      <w:r w:rsidR="00323016" w:rsidRPr="007E3B76">
        <w:rPr>
          <w:rFonts w:ascii="Arial" w:hAnsi="Arial" w:cs="Arial"/>
          <w:b/>
          <w:sz w:val="24"/>
        </w:rPr>
        <w:t>.</w:t>
      </w:r>
      <w:r w:rsidR="00495FCA" w:rsidRPr="00AC68CC">
        <w:rPr>
          <w:rFonts w:ascii="Arial" w:hAnsi="Arial" w:cs="Arial"/>
          <w:sz w:val="24"/>
        </w:rPr>
        <w:t xml:space="preserve">Si como resultado de los procesos de control y seguimientos establecidos por la normatividad y reglamentación vigente en la materia, se corrobora un incumpliendo </w:t>
      </w:r>
      <w:r w:rsidR="002C1FCA" w:rsidRPr="00AC68CC">
        <w:rPr>
          <w:rFonts w:ascii="Arial" w:hAnsi="Arial" w:cs="Arial"/>
          <w:sz w:val="24"/>
        </w:rPr>
        <w:t>total o parcial</w:t>
      </w:r>
      <w:r w:rsidR="00495FCA" w:rsidRPr="00AC68CC">
        <w:rPr>
          <w:rFonts w:ascii="Arial" w:hAnsi="Arial" w:cs="Arial"/>
          <w:sz w:val="24"/>
        </w:rPr>
        <w:t xml:space="preserve"> de los requisitos para contar con la licencia ambiental otorgada conforme a la ley, </w:t>
      </w:r>
      <w:r w:rsidR="008D3AF2">
        <w:rPr>
          <w:rFonts w:ascii="Arial" w:hAnsi="Arial" w:cs="Arial"/>
          <w:sz w:val="24"/>
        </w:rPr>
        <w:t xml:space="preserve">el titular de la licencia </w:t>
      </w:r>
      <w:r w:rsidR="00B65EC9" w:rsidRPr="00AC68CC">
        <w:rPr>
          <w:rFonts w:ascii="Arial" w:hAnsi="Arial" w:cs="Arial"/>
          <w:sz w:val="24"/>
        </w:rPr>
        <w:t>se</w:t>
      </w:r>
      <w:r w:rsidR="008D3AF2">
        <w:rPr>
          <w:rFonts w:ascii="Arial" w:hAnsi="Arial" w:cs="Arial"/>
          <w:sz w:val="24"/>
        </w:rPr>
        <w:t>rá objeto del</w:t>
      </w:r>
      <w:r w:rsidR="008910DF">
        <w:rPr>
          <w:rFonts w:ascii="Arial" w:hAnsi="Arial" w:cs="Arial"/>
          <w:sz w:val="24"/>
        </w:rPr>
        <w:t xml:space="preserve"> régimen </w:t>
      </w:r>
      <w:r w:rsidR="008D3AF2">
        <w:rPr>
          <w:rFonts w:ascii="Arial" w:hAnsi="Arial" w:cs="Arial"/>
          <w:sz w:val="24"/>
        </w:rPr>
        <w:t>sancion</w:t>
      </w:r>
      <w:r w:rsidR="008910DF">
        <w:rPr>
          <w:rFonts w:ascii="Arial" w:hAnsi="Arial" w:cs="Arial"/>
          <w:sz w:val="24"/>
        </w:rPr>
        <w:t>atorio</w:t>
      </w:r>
      <w:r w:rsidR="002011AD">
        <w:rPr>
          <w:rFonts w:ascii="Arial" w:hAnsi="Arial" w:cs="Arial"/>
          <w:sz w:val="24"/>
        </w:rPr>
        <w:t xml:space="preserve"> dispuesto en la Ley 33 de 1993,</w:t>
      </w:r>
      <w:r w:rsidR="00EF638D" w:rsidRPr="00AC68CC">
        <w:rPr>
          <w:rFonts w:ascii="Arial" w:hAnsi="Arial" w:cs="Arial"/>
          <w:sz w:val="24"/>
        </w:rPr>
        <w:t xml:space="preserve"> de acuerdo con la gravedad de las irregularidades encontradas</w:t>
      </w:r>
      <w:r w:rsidR="002011AD">
        <w:rPr>
          <w:rFonts w:ascii="Arial" w:hAnsi="Arial" w:cs="Arial"/>
          <w:sz w:val="24"/>
        </w:rPr>
        <w:t>.</w:t>
      </w:r>
    </w:p>
    <w:p w:rsidR="00231E44" w:rsidRDefault="00AC68CC" w:rsidP="001D6C33">
      <w:pPr>
        <w:jc w:val="both"/>
        <w:rPr>
          <w:rFonts w:ascii="Arial" w:hAnsi="Arial" w:cs="Arial"/>
          <w:color w:val="FF0000"/>
          <w:sz w:val="24"/>
        </w:rPr>
      </w:pPr>
      <w:r w:rsidRPr="007E3B76">
        <w:rPr>
          <w:rFonts w:ascii="Arial" w:hAnsi="Arial" w:cs="Arial"/>
          <w:b/>
          <w:sz w:val="24"/>
        </w:rPr>
        <w:t xml:space="preserve">Artículo 4°. </w:t>
      </w:r>
      <w:r w:rsidR="00231E44" w:rsidRPr="007E3B76">
        <w:rPr>
          <w:rFonts w:ascii="Arial" w:hAnsi="Arial" w:cs="Arial"/>
          <w:b/>
          <w:i/>
          <w:sz w:val="24"/>
        </w:rPr>
        <w:t>Régimen de Transición</w:t>
      </w:r>
      <w:r w:rsidR="00231E44" w:rsidRPr="007E3B76">
        <w:rPr>
          <w:rFonts w:ascii="Arial" w:hAnsi="Arial" w:cs="Arial"/>
          <w:b/>
          <w:sz w:val="24"/>
        </w:rPr>
        <w:t>.</w:t>
      </w:r>
      <w:r w:rsidR="00231E44" w:rsidRPr="00231E44">
        <w:rPr>
          <w:rFonts w:ascii="Arial" w:hAnsi="Arial" w:cs="Arial"/>
          <w:sz w:val="24"/>
        </w:rPr>
        <w:t>Para</w:t>
      </w:r>
      <w:r w:rsidR="00231E44">
        <w:rPr>
          <w:rFonts w:ascii="Arial" w:hAnsi="Arial" w:cs="Arial"/>
          <w:sz w:val="24"/>
        </w:rPr>
        <w:t xml:space="preserve"> los cementerios que operan actualmente, se les concederá un plazo de un año para ajustarse a la normatividad vigente. Lapso durante el cual contarán con el acompañamiento de las autoridades competentes para su correcta adecuación.</w:t>
      </w:r>
    </w:p>
    <w:p w:rsidR="00EE1771" w:rsidRDefault="00D957B0" w:rsidP="001D6C33">
      <w:pPr>
        <w:jc w:val="both"/>
        <w:rPr>
          <w:rFonts w:ascii="Arial" w:hAnsi="Arial" w:cs="Arial"/>
          <w:sz w:val="24"/>
        </w:rPr>
      </w:pPr>
      <w:r w:rsidRPr="007E3B76">
        <w:rPr>
          <w:rFonts w:ascii="Arial" w:hAnsi="Arial" w:cs="Arial"/>
          <w:b/>
          <w:sz w:val="24"/>
        </w:rPr>
        <w:t xml:space="preserve">Artículo 5°. </w:t>
      </w:r>
      <w:r w:rsidRPr="007E3B76">
        <w:rPr>
          <w:rFonts w:ascii="Arial" w:hAnsi="Arial" w:cs="Arial"/>
          <w:b/>
          <w:i/>
          <w:sz w:val="24"/>
        </w:rPr>
        <w:t>Vigencias y Derogatorias</w:t>
      </w:r>
      <w:r w:rsidRPr="007E3B76">
        <w:rPr>
          <w:rFonts w:ascii="Arial" w:hAnsi="Arial" w:cs="Arial"/>
          <w:b/>
          <w:sz w:val="24"/>
        </w:rPr>
        <w:t>.</w:t>
      </w:r>
      <w:r w:rsidR="00BE3607" w:rsidRPr="00BE3607">
        <w:rPr>
          <w:rFonts w:ascii="Arial" w:hAnsi="Arial" w:cs="Arial"/>
          <w:sz w:val="24"/>
        </w:rPr>
        <w:t>La presente ley</w:t>
      </w:r>
      <w:r w:rsidR="00BE3607">
        <w:rPr>
          <w:rFonts w:ascii="Arial" w:hAnsi="Arial" w:cs="Arial"/>
          <w:sz w:val="24"/>
        </w:rPr>
        <w:t xml:space="preserve"> rige a partir de su promulgación y deroga todas las que le sean contrarias.</w:t>
      </w:r>
    </w:p>
    <w:p w:rsidR="001F22ED" w:rsidRDefault="001F22ED" w:rsidP="001D6C33">
      <w:pPr>
        <w:jc w:val="both"/>
        <w:rPr>
          <w:rFonts w:ascii="Arial" w:hAnsi="Arial" w:cs="Arial"/>
          <w:sz w:val="24"/>
        </w:rPr>
      </w:pPr>
    </w:p>
    <w:p w:rsidR="001F22ED" w:rsidRDefault="001F22ED" w:rsidP="001D6C33">
      <w:pPr>
        <w:jc w:val="both"/>
        <w:rPr>
          <w:rFonts w:ascii="Arial" w:hAnsi="Arial" w:cs="Arial"/>
          <w:sz w:val="24"/>
        </w:rPr>
      </w:pPr>
      <w:r>
        <w:rPr>
          <w:rFonts w:ascii="Arial" w:hAnsi="Arial" w:cs="Arial"/>
          <w:sz w:val="24"/>
        </w:rPr>
        <w:t>De los Honorables Congresistas:</w:t>
      </w:r>
    </w:p>
    <w:p w:rsidR="003B7D76" w:rsidRDefault="003B7D76" w:rsidP="001D6C33">
      <w:pPr>
        <w:jc w:val="both"/>
        <w:rPr>
          <w:rFonts w:ascii="Arial" w:hAnsi="Arial" w:cs="Arial"/>
          <w:sz w:val="24"/>
        </w:rPr>
      </w:pPr>
    </w:p>
    <w:p w:rsidR="003B7D76" w:rsidRDefault="003B7D76" w:rsidP="001D6C33">
      <w:pPr>
        <w:jc w:val="both"/>
        <w:rPr>
          <w:rFonts w:ascii="Arial" w:hAnsi="Arial" w:cs="Arial"/>
          <w:sz w:val="24"/>
        </w:rPr>
      </w:pPr>
    </w:p>
    <w:p w:rsidR="003B7D76" w:rsidRPr="00472877" w:rsidRDefault="003B7D76" w:rsidP="003B7D76">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3B7D76" w:rsidRDefault="003B7D76" w:rsidP="003B7D76">
      <w:pPr>
        <w:jc w:val="both"/>
        <w:rPr>
          <w:rFonts w:ascii="Arial" w:hAnsi="Arial" w:cs="Arial"/>
          <w:b/>
          <w:sz w:val="24"/>
          <w:szCs w:val="24"/>
        </w:rPr>
      </w:pPr>
    </w:p>
    <w:p w:rsidR="003B7D76" w:rsidRDefault="003B7D76" w:rsidP="003B7D76">
      <w:pPr>
        <w:jc w:val="both"/>
        <w:rPr>
          <w:rFonts w:ascii="Arial" w:hAnsi="Arial" w:cs="Arial"/>
          <w:b/>
          <w:sz w:val="24"/>
          <w:szCs w:val="24"/>
        </w:rPr>
      </w:pPr>
    </w:p>
    <w:p w:rsidR="003B7D76" w:rsidRPr="00472877" w:rsidRDefault="003B7D76" w:rsidP="003B7D76">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3B7D76" w:rsidRDefault="003B7D76" w:rsidP="003B7D76">
      <w:pPr>
        <w:jc w:val="both"/>
        <w:rPr>
          <w:rFonts w:ascii="Arial" w:hAnsi="Arial" w:cs="Arial"/>
          <w:b/>
          <w:sz w:val="24"/>
          <w:szCs w:val="24"/>
        </w:rPr>
      </w:pPr>
    </w:p>
    <w:p w:rsidR="003B7D76" w:rsidRDefault="003B7D76" w:rsidP="003B7D76">
      <w:pPr>
        <w:jc w:val="both"/>
        <w:rPr>
          <w:rFonts w:ascii="Arial" w:hAnsi="Arial" w:cs="Arial"/>
          <w:b/>
          <w:sz w:val="24"/>
          <w:szCs w:val="24"/>
        </w:rPr>
      </w:pPr>
    </w:p>
    <w:p w:rsidR="003B7D76" w:rsidRPr="00472877" w:rsidRDefault="003B7D76" w:rsidP="003B7D76">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3B7D76" w:rsidRPr="00143BD4" w:rsidRDefault="003B7D76" w:rsidP="001D6C33">
      <w:pPr>
        <w:jc w:val="both"/>
      </w:pPr>
      <w:bookmarkStart w:id="0" w:name="_GoBack"/>
      <w:bookmarkEnd w:id="0"/>
    </w:p>
    <w:sectPr w:rsidR="003B7D76" w:rsidRPr="00143BD4" w:rsidSect="001F22ED">
      <w:headerReference w:type="default" r:id="rId10"/>
      <w:pgSz w:w="12240" w:h="15840" w:code="1"/>
      <w:pgMar w:top="1843" w:right="1701" w:bottom="198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CA5" w:rsidRDefault="00B46CA5" w:rsidP="003C3A69">
      <w:pPr>
        <w:spacing w:after="0" w:line="240" w:lineRule="auto"/>
      </w:pPr>
      <w:r>
        <w:separator/>
      </w:r>
    </w:p>
  </w:endnote>
  <w:endnote w:type="continuationSeparator" w:id="1">
    <w:p w:rsidR="00B46CA5" w:rsidRDefault="00B46CA5" w:rsidP="003C3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CA5" w:rsidRDefault="00B46CA5" w:rsidP="003C3A69">
      <w:pPr>
        <w:spacing w:after="0" w:line="240" w:lineRule="auto"/>
      </w:pPr>
      <w:r>
        <w:separator/>
      </w:r>
    </w:p>
  </w:footnote>
  <w:footnote w:type="continuationSeparator" w:id="1">
    <w:p w:rsidR="00B46CA5" w:rsidRDefault="00B46CA5" w:rsidP="003C3A69">
      <w:pPr>
        <w:spacing w:after="0" w:line="240" w:lineRule="auto"/>
      </w:pPr>
      <w:r>
        <w:continuationSeparator/>
      </w:r>
    </w:p>
  </w:footnote>
  <w:footnote w:id="2">
    <w:p w:rsidR="00111731" w:rsidRPr="00472877" w:rsidRDefault="00111731">
      <w:pPr>
        <w:pStyle w:val="Textonotapie"/>
        <w:rPr>
          <w:lang w:val="es-CO"/>
        </w:rPr>
      </w:pPr>
      <w:r w:rsidRPr="00472877">
        <w:rPr>
          <w:rStyle w:val="Refdenotaalpie"/>
        </w:rPr>
        <w:footnoteRef/>
      </w:r>
      <w:r w:rsidR="002451FE" w:rsidRPr="00472877">
        <w:rPr>
          <w:b/>
          <w:lang w:val="es-CO"/>
        </w:rPr>
        <w:t>“El impacto de los cementerios en el medio ambiente y la salud pública. Una breve introducción</w:t>
      </w:r>
      <w:r w:rsidR="002451FE" w:rsidRPr="00472877">
        <w:rPr>
          <w:lang w:val="es-CO"/>
        </w:rPr>
        <w:t>”. Ahmet S. Üçisik y RushbrookPhillip.  Departamento de Gestión de Residuos de la Oficina Regional para Europa. Centro Europeo para el Medio Ambiente y  la Salud Oficina de Proyectos Nancy, Organización Mundial de la salud, Copenhagüe, Dinamarca, 1998</w:t>
      </w:r>
      <w:r w:rsidRPr="00472877">
        <w:rPr>
          <w:lang w:val="es-CO"/>
        </w:rPr>
        <w:t>.</w:t>
      </w:r>
    </w:p>
  </w:footnote>
  <w:footnote w:id="3">
    <w:p w:rsidR="00111731" w:rsidRPr="004B46AB" w:rsidRDefault="00111731">
      <w:pPr>
        <w:pStyle w:val="Textonotapie"/>
        <w:rPr>
          <w:lang w:val="es-CO"/>
        </w:rPr>
      </w:pPr>
      <w:r w:rsidRPr="00472877">
        <w:rPr>
          <w:rStyle w:val="Refdenotaalpie"/>
        </w:rPr>
        <w:footnoteRef/>
      </w:r>
      <w:r w:rsidRPr="00472877">
        <w:t xml:space="preserve"> Gobernanza Ambiental de Aguas y Áreas Costeras. PNUMA. </w:t>
      </w:r>
      <w:hyperlink r:id="rId1" w:history="1">
        <w:r w:rsidRPr="00472877">
          <w:rPr>
            <w:rStyle w:val="Hipervnculo"/>
          </w:rPr>
          <w:t>http://www.pnuma.org/agua-miaac/REGIONAL/MATERIAL%20ADICIONAL/PRESENTACIONES/PONENTES/Tema%203%20-%20Institucionalidad/Tendencias%20y%20desafios%20en%20la%20gobernanza%20de%20aguas%20-%20Andrea%20Brusco/DERECHO%20INTERNACIONAL%20AGUAS.pdf</w:t>
        </w:r>
      </w:hyperlink>
    </w:p>
  </w:footnote>
  <w:footnote w:id="4">
    <w:p w:rsidR="00111731" w:rsidRPr="00472877" w:rsidRDefault="00111731" w:rsidP="00A5253D">
      <w:pPr>
        <w:pStyle w:val="Textonotapie"/>
        <w:rPr>
          <w:lang w:val="es-CO"/>
        </w:rPr>
      </w:pPr>
      <w:r w:rsidRPr="00472877">
        <w:rPr>
          <w:rStyle w:val="Refdenotaalpie"/>
        </w:rPr>
        <w:footnoteRef/>
      </w:r>
      <w:r w:rsidRPr="00472877">
        <w:rPr>
          <w:lang w:val="es-CO"/>
        </w:rPr>
        <w:t xml:space="preserve">Ídem. </w:t>
      </w:r>
    </w:p>
  </w:footnote>
  <w:footnote w:id="5">
    <w:p w:rsidR="00111731" w:rsidRPr="00472877" w:rsidRDefault="00111731">
      <w:pPr>
        <w:pStyle w:val="Textonotapie"/>
      </w:pPr>
      <w:r w:rsidRPr="00472877">
        <w:rPr>
          <w:rStyle w:val="Refdenotaalpie"/>
        </w:rPr>
        <w:footnoteRef/>
      </w:r>
      <w:r w:rsidRPr="00472877">
        <w:t xml:space="preserve"> “</w:t>
      </w:r>
      <w:r w:rsidRPr="00472877">
        <w:rPr>
          <w:b/>
        </w:rPr>
        <w:t xml:space="preserve">Transnacionales mineras: Depredación ecológica y violación de derechos humanos”. </w:t>
      </w:r>
      <w:r w:rsidRPr="00472877">
        <w:t xml:space="preserve">ELMERCURIODIGITAL. Marzo 14 de 2012. </w:t>
      </w:r>
      <w:hyperlink r:id="rId2" w:history="1">
        <w:r w:rsidRPr="00472877">
          <w:rPr>
            <w:rStyle w:val="Hipervnculo"/>
          </w:rPr>
          <w:t>http://www.elmercuriodigital.net/2012/03/transnacionales-mineras-depredacion.html</w:t>
        </w:r>
      </w:hyperlink>
    </w:p>
  </w:footnote>
  <w:footnote w:id="6">
    <w:p w:rsidR="00111731" w:rsidRPr="00472877" w:rsidRDefault="00111731">
      <w:pPr>
        <w:pStyle w:val="Textonotapie"/>
      </w:pPr>
      <w:r w:rsidRPr="00472877">
        <w:rPr>
          <w:rStyle w:val="Refdenotaalpie"/>
        </w:rPr>
        <w:footnoteRef/>
      </w:r>
      <w:r w:rsidRPr="00472877">
        <w:t xml:space="preserve"> Ídem. </w:t>
      </w:r>
    </w:p>
  </w:footnote>
  <w:footnote w:id="7">
    <w:p w:rsidR="00111731" w:rsidRPr="00EE5690" w:rsidRDefault="00111731" w:rsidP="00EE5690">
      <w:pPr>
        <w:pStyle w:val="Textonotapie"/>
      </w:pPr>
      <w:r w:rsidRPr="00472877">
        <w:rPr>
          <w:rStyle w:val="Refdenotaalpie"/>
        </w:rPr>
        <w:footnoteRef/>
      </w:r>
      <w:r w:rsidRPr="00472877">
        <w:rPr>
          <w:b/>
        </w:rPr>
        <w:t>Minería en Santurbán contamina el agua para consumo humano</w:t>
      </w:r>
      <w:r w:rsidRPr="00472877">
        <w:t xml:space="preserve">. 08 de marzo de 2012  </w:t>
      </w:r>
      <w:hyperlink r:id="rId3" w:history="1">
        <w:r w:rsidRPr="00472877">
          <w:rPr>
            <w:rStyle w:val="Hipervnculo"/>
          </w:rPr>
          <w:t>http://noticias.terra.com.co/mineria/mineria-en-santurban-contamina-el-agua-para-consumo-humano,a5a8f7a2164f5310VgnVCM20000099f154d0RCRD.html</w:t>
        </w:r>
      </w:hyperlink>
    </w:p>
  </w:footnote>
  <w:footnote w:id="8">
    <w:p w:rsidR="00111731" w:rsidRDefault="00111731" w:rsidP="00C32146">
      <w:pPr>
        <w:pStyle w:val="Textonotapie"/>
      </w:pPr>
      <w:r>
        <w:rPr>
          <w:rStyle w:val="Refdenotaalpie"/>
        </w:rPr>
        <w:footnoteRef/>
      </w:r>
      <w:r>
        <w:t xml:space="preserve"> Noguera, K. M. &amp; J. T. Olivero: “</w:t>
      </w:r>
      <w:r w:rsidRPr="009F4EA6">
        <w:rPr>
          <w:b/>
        </w:rPr>
        <w:t>Los rellenos sanitarios en Latinoamérica: caso colombiano</w:t>
      </w:r>
      <w:r>
        <w:rPr>
          <w:b/>
        </w:rPr>
        <w:t xml:space="preserve">” </w:t>
      </w:r>
    </w:p>
    <w:p w:rsidR="00111731" w:rsidRPr="00BB58E5" w:rsidRDefault="00111731" w:rsidP="00C32146">
      <w:pPr>
        <w:pStyle w:val="Textonotapie"/>
      </w:pPr>
      <w:r>
        <w:t xml:space="preserve">Rev. Acad. Colomb. Cienc. 34 (132): 347-356, 2010. </w:t>
      </w:r>
      <w:r w:rsidRPr="00BB58E5">
        <w:t xml:space="preserve">ISSN 0370-3908.  </w:t>
      </w:r>
      <w:hyperlink r:id="rId4" w:history="1">
        <w:r w:rsidRPr="00BB58E5">
          <w:rPr>
            <w:rStyle w:val="Hipervnculo"/>
          </w:rPr>
          <w:t>http://www.accefyn.org.co/revista/Vol_34/132/347-356.pdf</w:t>
        </w:r>
      </w:hyperlink>
    </w:p>
  </w:footnote>
  <w:footnote w:id="9">
    <w:p w:rsidR="00111731" w:rsidRPr="00472877" w:rsidRDefault="00111731" w:rsidP="0053659B">
      <w:pPr>
        <w:pStyle w:val="Textonotapie"/>
        <w:jc w:val="both"/>
        <w:rPr>
          <w:b/>
          <w:lang w:val="es-CO"/>
        </w:rPr>
      </w:pPr>
      <w:r w:rsidRPr="00472877">
        <w:rPr>
          <w:rStyle w:val="Refdenotaalpie"/>
        </w:rPr>
        <w:footnoteRef/>
      </w:r>
      <w:r w:rsidRPr="00472877">
        <w:rPr>
          <w:b/>
        </w:rPr>
        <w:t xml:space="preserve">“Contaminación de Aguas Subterráneas por Lixiviados Provenientes de Sepulturas Bajo Suelo, en el camposanto </w:t>
      </w:r>
      <w:r w:rsidRPr="00472877">
        <w:rPr>
          <w:b/>
          <w:i/>
        </w:rPr>
        <w:t>Parques del Paraíso</w:t>
      </w:r>
      <w:r w:rsidRPr="00472877">
        <w:rPr>
          <w:b/>
        </w:rPr>
        <w:t>”</w:t>
      </w:r>
      <w:r w:rsidRPr="00472877">
        <w:rPr>
          <w:b/>
          <w:i/>
        </w:rPr>
        <w:t xml:space="preserve">. </w:t>
      </w:r>
      <w:r w:rsidRPr="00472877">
        <w:rPr>
          <w:b/>
        </w:rPr>
        <w:t>Lurín – Lima</w:t>
      </w:r>
      <w:r w:rsidRPr="00472877">
        <w:rPr>
          <w:b/>
          <w:i/>
        </w:rPr>
        <w:t>.</w:t>
      </w:r>
      <w:r w:rsidRPr="00472877">
        <w:t>Tesis de Grado José JorgeEspinoza Eche. 2007. Lima – Perú.</w:t>
      </w:r>
    </w:p>
  </w:footnote>
  <w:footnote w:id="10">
    <w:p w:rsidR="00111731" w:rsidRPr="00D10BE4" w:rsidRDefault="00111731">
      <w:pPr>
        <w:pStyle w:val="Textonotapie"/>
        <w:rPr>
          <w:lang w:val="es-CO"/>
        </w:rPr>
      </w:pPr>
      <w:r>
        <w:rPr>
          <w:rStyle w:val="Refdenotaalpie"/>
        </w:rPr>
        <w:footnoteRef/>
      </w:r>
      <w:r w:rsidRPr="00D10BE4">
        <w:rPr>
          <w:b/>
        </w:rPr>
        <w:t>“</w:t>
      </w:r>
      <w:r>
        <w:rPr>
          <w:b/>
        </w:rPr>
        <w:t>Evaluación y Gestión de Riesgos por Cementerios en Lima Metropolitana y Callao</w:t>
      </w:r>
      <w:r w:rsidRPr="00D10BE4">
        <w:rPr>
          <w:b/>
        </w:rPr>
        <w:t>”</w:t>
      </w:r>
      <w:r w:rsidRPr="0016024A">
        <w:rPr>
          <w:rStyle w:val="st1"/>
          <w:rFonts w:cstheme="minorHAnsi"/>
        </w:rPr>
        <w:t xml:space="preserve">Programa de </w:t>
      </w:r>
      <w:r w:rsidRPr="0016024A">
        <w:rPr>
          <w:rStyle w:val="st1"/>
          <w:rFonts w:cstheme="minorHAnsi"/>
          <w:bCs/>
          <w:color w:val="000000"/>
        </w:rPr>
        <w:t>Minimización de la Contaminación</w:t>
      </w:r>
      <w:r w:rsidRPr="0016024A">
        <w:rPr>
          <w:rStyle w:val="st1"/>
          <w:rFonts w:cstheme="minorHAnsi"/>
        </w:rPr>
        <w:t xml:space="preserve"> de </w:t>
      </w:r>
      <w:r w:rsidRPr="0016024A">
        <w:rPr>
          <w:rStyle w:val="st1"/>
          <w:rFonts w:cstheme="minorHAnsi"/>
          <w:bCs/>
          <w:color w:val="000000"/>
        </w:rPr>
        <w:t>Aguas Subterráneas Causadas por Cementerios</w:t>
      </w:r>
      <w:r w:rsidRPr="0016024A">
        <w:rPr>
          <w:rStyle w:val="st1"/>
          <w:rFonts w:cstheme="minorHAnsi"/>
        </w:rPr>
        <w:t xml:space="preserve">. Sao Paulo, Brasil. </w:t>
      </w:r>
      <w:r>
        <w:rPr>
          <w:rFonts w:cstheme="minorHAnsi"/>
        </w:rPr>
        <w:t xml:space="preserve">OMS. </w:t>
      </w:r>
      <w:hyperlink r:id="rId5" w:history="1">
        <w:r w:rsidRPr="005D3A8A">
          <w:rPr>
            <w:rStyle w:val="Hipervnculo"/>
          </w:rPr>
          <w:t>http://www.bvsde.paho.org/bvsacd/cd61/aranibar/resulta.pdf</w:t>
        </w:r>
      </w:hyperlink>
    </w:p>
  </w:footnote>
  <w:footnote w:id="11">
    <w:p w:rsidR="00111731" w:rsidRPr="009D2765" w:rsidRDefault="00111731">
      <w:pPr>
        <w:pStyle w:val="Textonotapie"/>
      </w:pPr>
      <w:r>
        <w:rPr>
          <w:rStyle w:val="Refdenotaalpie"/>
        </w:rPr>
        <w:footnoteRef/>
      </w:r>
      <w:r w:rsidRPr="009D2765">
        <w:rPr>
          <w:b/>
        </w:rPr>
        <w:t>“Principales Contaminantes”.</w:t>
      </w:r>
      <w:hyperlink r:id="rId6" w:history="1">
        <w:r w:rsidRPr="005D3A8A">
          <w:rPr>
            <w:rStyle w:val="Hipervnculo"/>
          </w:rPr>
          <w:t>http://www.medio-ambiente.info/modules.php?op=modload&amp;name=News&amp;file=article&amp;sid=377</w:t>
        </w:r>
      </w:hyperlink>
    </w:p>
  </w:footnote>
  <w:footnote w:id="12">
    <w:p w:rsidR="00111731" w:rsidRPr="00F71342" w:rsidRDefault="00111731" w:rsidP="00F71342">
      <w:pPr>
        <w:autoSpaceDE w:val="0"/>
        <w:autoSpaceDN w:val="0"/>
        <w:adjustRightInd w:val="0"/>
        <w:spacing w:after="0" w:line="240" w:lineRule="auto"/>
        <w:rPr>
          <w:rFonts w:cstheme="minorHAnsi"/>
          <w:sz w:val="20"/>
          <w:szCs w:val="20"/>
        </w:rPr>
      </w:pPr>
      <w:r w:rsidRPr="00F71342">
        <w:rPr>
          <w:rStyle w:val="Refdenotaalpie"/>
          <w:sz w:val="20"/>
          <w:szCs w:val="20"/>
        </w:rPr>
        <w:footnoteRef/>
      </w:r>
      <w:r>
        <w:rPr>
          <w:sz w:val="20"/>
          <w:szCs w:val="20"/>
        </w:rPr>
        <w:t xml:space="preserve">“Contaminación del Agua”. </w:t>
      </w:r>
      <w:r w:rsidRPr="00F71342">
        <w:rPr>
          <w:rFonts w:cstheme="minorHAnsi"/>
          <w:sz w:val="20"/>
          <w:szCs w:val="20"/>
        </w:rPr>
        <w:t>Luis Echarri</w:t>
      </w:r>
      <w:r>
        <w:rPr>
          <w:rFonts w:cstheme="minorHAnsi"/>
          <w:sz w:val="20"/>
          <w:szCs w:val="20"/>
        </w:rPr>
        <w:t>.</w:t>
      </w:r>
      <w:r>
        <w:rPr>
          <w:sz w:val="20"/>
          <w:szCs w:val="20"/>
        </w:rPr>
        <w:t xml:space="preserve"> Texto Académico, Universidad de Navarra. Área: P</w:t>
      </w:r>
      <w:r w:rsidRPr="00F71342">
        <w:rPr>
          <w:rFonts w:cstheme="minorHAnsi"/>
          <w:sz w:val="20"/>
          <w:szCs w:val="20"/>
        </w:rPr>
        <w:t xml:space="preserve">oblación, ecología y ambiente. 2007. </w:t>
      </w:r>
    </w:p>
  </w:footnote>
  <w:footnote w:id="13">
    <w:p w:rsidR="00111731" w:rsidRPr="00472877" w:rsidRDefault="00111731" w:rsidP="00901E53">
      <w:pPr>
        <w:pStyle w:val="Textonotapie"/>
        <w:rPr>
          <w:lang w:val="es-CO"/>
        </w:rPr>
      </w:pPr>
      <w:r w:rsidRPr="00472877">
        <w:rPr>
          <w:rStyle w:val="Refdenotaalpie"/>
        </w:rPr>
        <w:footnoteRef/>
      </w:r>
      <w:r w:rsidRPr="00472877">
        <w:rPr>
          <w:b/>
        </w:rPr>
        <w:t>Agua</w:t>
      </w:r>
      <w:r w:rsidRPr="00472877">
        <w:t xml:space="preserve">: </w:t>
      </w:r>
      <w:r w:rsidRPr="00472877">
        <w:rPr>
          <w:b/>
        </w:rPr>
        <w:t>El Oro Azul Escasez y Contaminación del Agua: Muertes y Enfermedades Futuras</w:t>
      </w:r>
      <w:r w:rsidRPr="00472877">
        <w:t xml:space="preserve">. Revista RUMBOS Año 3 2005. Nro. 149 </w:t>
      </w:r>
      <w:hyperlink r:id="rId7" w:history="1">
        <w:r w:rsidRPr="00472877">
          <w:rPr>
            <w:rStyle w:val="Hipervnculo"/>
          </w:rPr>
          <w:t>http://www.portalplanetasedna.com.ar/oro_azul.htm</w:t>
        </w:r>
      </w:hyperlink>
    </w:p>
  </w:footnote>
  <w:footnote w:id="14">
    <w:p w:rsidR="00111731" w:rsidRPr="00472877" w:rsidRDefault="00111731">
      <w:pPr>
        <w:pStyle w:val="Textonotapie"/>
      </w:pPr>
      <w:r w:rsidRPr="00472877">
        <w:rPr>
          <w:rStyle w:val="Refdenotaalpie"/>
        </w:rPr>
        <w:footnoteRef/>
      </w:r>
      <w:hyperlink r:id="rId8" w:history="1">
        <w:r w:rsidRPr="00472877">
          <w:rPr>
            <w:rStyle w:val="Hipervnculo"/>
          </w:rPr>
          <w:t>http://www.defensoria.org.co/red/anexos/pdf/11/agua/inf_completo.pdf</w:t>
        </w:r>
      </w:hyperlink>
    </w:p>
  </w:footnote>
  <w:footnote w:id="15">
    <w:p w:rsidR="00111731" w:rsidRPr="00E86F43" w:rsidRDefault="00111731">
      <w:pPr>
        <w:pStyle w:val="Textonotapie"/>
        <w:rPr>
          <w:lang w:val="es-CO"/>
        </w:rPr>
      </w:pPr>
      <w:r w:rsidRPr="00472877">
        <w:rPr>
          <w:rStyle w:val="Refdenotaalpie"/>
        </w:rPr>
        <w:footnoteRef/>
      </w:r>
      <w:r w:rsidRPr="00472877">
        <w:rPr>
          <w:b/>
        </w:rPr>
        <w:t>¿Agua para la vida o para la mina?</w:t>
      </w:r>
      <w:r w:rsidRPr="00472877">
        <w:t xml:space="preserve"> Marzo 07 de 2012. </w:t>
      </w:r>
      <w:hyperlink r:id="rId9" w:history="1">
        <w:r w:rsidRPr="00472877">
          <w:rPr>
            <w:rStyle w:val="Hipervnculo"/>
          </w:rPr>
          <w:t>http://www.bolpress.com/art.php?Cod=2012030701</w:t>
        </w:r>
      </w:hyperlink>
    </w:p>
  </w:footnote>
  <w:footnote w:id="16">
    <w:p w:rsidR="00111731" w:rsidRPr="007E3B76" w:rsidRDefault="00111731">
      <w:pPr>
        <w:pStyle w:val="Textonotapie"/>
        <w:rPr>
          <w:sz w:val="18"/>
          <w:lang w:val="es-CO"/>
        </w:rPr>
      </w:pPr>
      <w:r w:rsidRPr="00472877">
        <w:rPr>
          <w:rStyle w:val="Refdenotaalpie"/>
        </w:rPr>
        <w:footnoteRef/>
      </w:r>
      <w:r w:rsidRPr="00472877">
        <w:rPr>
          <w:b/>
        </w:rPr>
        <w:t>Boletín No. 10- 2012 Vigilancia de la Malaria en Colombia.</w:t>
      </w:r>
      <w:hyperlink r:id="rId10" w:history="1">
        <w:r w:rsidRPr="00472877">
          <w:rPr>
            <w:rStyle w:val="Hipervnculo"/>
          </w:rPr>
          <w:t>http://new.paho.org/col/index.php?option=com_content&amp;task=blogcategory&amp;id=791&amp;Itemid=523</w:t>
        </w:r>
      </w:hyperlink>
    </w:p>
  </w:footnote>
  <w:footnote w:id="17">
    <w:p w:rsidR="00111731" w:rsidRPr="00A91E24" w:rsidRDefault="00111731">
      <w:pPr>
        <w:pStyle w:val="Textonotapie"/>
        <w:rPr>
          <w:lang w:val="en-US"/>
        </w:rPr>
      </w:pPr>
      <w:r w:rsidRPr="007E3B76">
        <w:rPr>
          <w:rStyle w:val="Refdenotaalpie"/>
          <w:sz w:val="18"/>
          <w:szCs w:val="18"/>
        </w:rPr>
        <w:footnoteRef/>
      </w:r>
      <w:r w:rsidRPr="00472877">
        <w:rPr>
          <w:b/>
          <w:szCs w:val="18"/>
        </w:rPr>
        <w:t>Boletín</w:t>
      </w:r>
      <w:r w:rsidRPr="00472877">
        <w:rPr>
          <w:b/>
        </w:rPr>
        <w:t xml:space="preserve"> Epidemiológico Semanal</w:t>
      </w:r>
      <w:r w:rsidRPr="00472877">
        <w:t xml:space="preserve">. Subdirección de Vigilancia y Control en Salud Pública. </w:t>
      </w:r>
      <w:r w:rsidRPr="00472877">
        <w:rPr>
          <w:lang w:val="en-US"/>
        </w:rPr>
        <w:t xml:space="preserve">INS. 2011 </w:t>
      </w:r>
      <w:hyperlink r:id="rId11" w:history="1">
        <w:r w:rsidRPr="00472877">
          <w:rPr>
            <w:rStyle w:val="Hipervnculo"/>
            <w:lang w:val="en-US"/>
          </w:rPr>
          <w:t>http://www.minproteccionsocial.gov.co/Documentos%20y%20Publicaciones/Boletin_epidemiologico_Semana_9.pdf</w:t>
        </w:r>
      </w:hyperlink>
    </w:p>
  </w:footnote>
  <w:footnote w:id="18">
    <w:p w:rsidR="00472877" w:rsidRPr="0028207C" w:rsidRDefault="00472877" w:rsidP="00472877">
      <w:pPr>
        <w:pStyle w:val="Textonotapie"/>
      </w:pPr>
      <w:r>
        <w:rPr>
          <w:rStyle w:val="Refdenotaalpie"/>
        </w:rPr>
        <w:footnoteRef/>
      </w:r>
      <w:r>
        <w:t xml:space="preserve"> www. constitucional.gov.co. Sentencia C- 911 de </w:t>
      </w:r>
      <w:smartTag w:uri="urn:schemas-microsoft-com:office:smarttags" w:element="metricconverter">
        <w:smartTagPr>
          <w:attr w:name="ProductID" w:val="2007, M"/>
        </w:smartTagPr>
        <w:r>
          <w:t>2007, M</w:t>
        </w:r>
      </w:smartTag>
      <w:r>
        <w:t>.P. Dr Jaime Araújo Rentería</w:t>
      </w:r>
    </w:p>
  </w:footnote>
  <w:footnote w:id="19">
    <w:p w:rsidR="00472877" w:rsidRPr="00A95A4A" w:rsidRDefault="00472877" w:rsidP="00472877">
      <w:pPr>
        <w:pStyle w:val="Textonotapie"/>
        <w:jc w:val="both"/>
        <w:rPr>
          <w:b/>
          <w:bCs/>
          <w:color w:val="000000"/>
          <w:sz w:val="18"/>
        </w:rPr>
      </w:pPr>
      <w:r>
        <w:rPr>
          <w:rStyle w:val="Refdenotaalpie"/>
        </w:rPr>
        <w:footnoteRef/>
      </w:r>
      <w:r w:rsidRPr="00A95A4A">
        <w:rPr>
          <w:sz w:val="18"/>
        </w:rPr>
        <w:t xml:space="preserve">Corte </w:t>
      </w:r>
      <w:r w:rsidRPr="00D254F2">
        <w:t>Constitucional</w:t>
      </w:r>
      <w:r w:rsidRPr="00A95A4A">
        <w:rPr>
          <w:bCs/>
          <w:color w:val="000000"/>
          <w:sz w:val="18"/>
        </w:rPr>
        <w:t>Sentencia C-625/10. M.P. Dr. NILSON PINILLA PINILLA. Bogotá, D. C., diez (10) de agosto dos mil diez (2010).</w:t>
      </w:r>
    </w:p>
    <w:p w:rsidR="00472877" w:rsidRPr="003B530B" w:rsidRDefault="00472877" w:rsidP="0047287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D76" w:rsidRDefault="003B7D76">
    <w:pPr>
      <w:pStyle w:val="Encabezado"/>
    </w:pPr>
    <w:r>
      <w:rPr>
        <w:noProof/>
        <w:lang w:eastAsia="es-ES"/>
      </w:rPr>
      <w:drawing>
        <wp:anchor distT="0" distB="0" distL="114300" distR="114300" simplePos="0" relativeHeight="251658240" behindDoc="1" locked="0" layoutInCell="1" allowOverlap="1">
          <wp:simplePos x="0" y="0"/>
          <wp:positionH relativeFrom="column">
            <wp:posOffset>-1080135</wp:posOffset>
          </wp:positionH>
          <wp:positionV relativeFrom="paragraph">
            <wp:posOffset>-449580</wp:posOffset>
          </wp:positionV>
          <wp:extent cx="7762875" cy="10172670"/>
          <wp:effectExtent l="0" t="0" r="0" b="635"/>
          <wp:wrapNone/>
          <wp:docPr id="2" name="Imagen 2" descr="\\strategico-lo\PASE\plantilla senador\imagenes\membrete_reconocimientob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trategico-lo\PASE\plantilla senador\imagenes\membrete_reconocimientobyn.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62875" cy="1017267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422DF"/>
    <w:multiLevelType w:val="hybridMultilevel"/>
    <w:tmpl w:val="E3523C5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7FA1329"/>
    <w:multiLevelType w:val="hybridMultilevel"/>
    <w:tmpl w:val="85F0C3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81270E3"/>
    <w:multiLevelType w:val="hybridMultilevel"/>
    <w:tmpl w:val="12D48EE8"/>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05E5235"/>
    <w:multiLevelType w:val="hybridMultilevel"/>
    <w:tmpl w:val="FA508D88"/>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7242B90"/>
    <w:multiLevelType w:val="hybridMultilevel"/>
    <w:tmpl w:val="EF7E4B8A"/>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2027C67"/>
    <w:multiLevelType w:val="hybridMultilevel"/>
    <w:tmpl w:val="8A9AC07C"/>
    <w:lvl w:ilvl="0" w:tplc="F912B32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2E34A68"/>
    <w:multiLevelType w:val="hybridMultilevel"/>
    <w:tmpl w:val="E59AD4A4"/>
    <w:lvl w:ilvl="0" w:tplc="11C65BC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31673F3"/>
    <w:multiLevelType w:val="hybridMultilevel"/>
    <w:tmpl w:val="E6FE5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38C04D9"/>
    <w:multiLevelType w:val="hybridMultilevel"/>
    <w:tmpl w:val="A2B6A76A"/>
    <w:lvl w:ilvl="0" w:tplc="B6B27F6A">
      <w:numFmt w:val="bullet"/>
      <w:lvlText w:val="-"/>
      <w:lvlJc w:val="left"/>
      <w:pPr>
        <w:ind w:left="720" w:hanging="360"/>
      </w:pPr>
      <w:rPr>
        <w:rFonts w:ascii="Arial" w:eastAsiaTheme="minorHAnsi" w:hAnsi="Aria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5B511CB"/>
    <w:multiLevelType w:val="hybridMultilevel"/>
    <w:tmpl w:val="64DCA1A4"/>
    <w:lvl w:ilvl="0" w:tplc="5E88F7B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5CB5B1D"/>
    <w:multiLevelType w:val="hybridMultilevel"/>
    <w:tmpl w:val="7846B8D6"/>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62265B4"/>
    <w:multiLevelType w:val="hybridMultilevel"/>
    <w:tmpl w:val="1A98B954"/>
    <w:lvl w:ilvl="0" w:tplc="DAC8A66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F223570"/>
    <w:multiLevelType w:val="hybridMultilevel"/>
    <w:tmpl w:val="9DF2F656"/>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0F363D5"/>
    <w:multiLevelType w:val="hybridMultilevel"/>
    <w:tmpl w:val="9C4C85C6"/>
    <w:lvl w:ilvl="0" w:tplc="BA7A8E3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6296696"/>
    <w:multiLevelType w:val="hybridMultilevel"/>
    <w:tmpl w:val="B9B879C6"/>
    <w:lvl w:ilvl="0" w:tplc="61CC336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C884DF3"/>
    <w:multiLevelType w:val="hybridMultilevel"/>
    <w:tmpl w:val="2B8E37A6"/>
    <w:lvl w:ilvl="0" w:tplc="97284C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DDA5B56"/>
    <w:multiLevelType w:val="hybridMultilevel"/>
    <w:tmpl w:val="0B844836"/>
    <w:lvl w:ilvl="0" w:tplc="42763BAE">
      <w:numFmt w:val="bullet"/>
      <w:lvlText w:val="-"/>
      <w:lvlJc w:val="left"/>
      <w:pPr>
        <w:ind w:left="720" w:hanging="360"/>
      </w:pPr>
      <w:rPr>
        <w:rFonts w:ascii="Arial" w:eastAsiaTheme="minorHAnsi"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4"/>
  </w:num>
  <w:num w:numId="4">
    <w:abstractNumId w:val="2"/>
  </w:num>
  <w:num w:numId="5">
    <w:abstractNumId w:val="6"/>
  </w:num>
  <w:num w:numId="6">
    <w:abstractNumId w:val="1"/>
  </w:num>
  <w:num w:numId="7">
    <w:abstractNumId w:val="5"/>
  </w:num>
  <w:num w:numId="8">
    <w:abstractNumId w:val="7"/>
  </w:num>
  <w:num w:numId="9">
    <w:abstractNumId w:val="11"/>
  </w:num>
  <w:num w:numId="10">
    <w:abstractNumId w:val="3"/>
  </w:num>
  <w:num w:numId="11">
    <w:abstractNumId w:val="8"/>
  </w:num>
  <w:num w:numId="12">
    <w:abstractNumId w:val="10"/>
  </w:num>
  <w:num w:numId="13">
    <w:abstractNumId w:val="16"/>
  </w:num>
  <w:num w:numId="14">
    <w:abstractNumId w:val="12"/>
  </w:num>
  <w:num w:numId="15">
    <w:abstractNumId w:val="13"/>
  </w:num>
  <w:num w:numId="16">
    <w:abstractNumId w:val="4"/>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5C2FC0"/>
    <w:rsid w:val="0000765E"/>
    <w:rsid w:val="00027CD2"/>
    <w:rsid w:val="0005071F"/>
    <w:rsid w:val="00051E63"/>
    <w:rsid w:val="000543F0"/>
    <w:rsid w:val="0005739E"/>
    <w:rsid w:val="0006694A"/>
    <w:rsid w:val="00070B74"/>
    <w:rsid w:val="00072DBA"/>
    <w:rsid w:val="00077399"/>
    <w:rsid w:val="000820CB"/>
    <w:rsid w:val="000822FD"/>
    <w:rsid w:val="000927FB"/>
    <w:rsid w:val="000A48A1"/>
    <w:rsid w:val="000C0317"/>
    <w:rsid w:val="000C0F23"/>
    <w:rsid w:val="000E12B2"/>
    <w:rsid w:val="000E57BD"/>
    <w:rsid w:val="001069B8"/>
    <w:rsid w:val="00111731"/>
    <w:rsid w:val="00112B90"/>
    <w:rsid w:val="00134356"/>
    <w:rsid w:val="0013534D"/>
    <w:rsid w:val="00143BD4"/>
    <w:rsid w:val="00150A5E"/>
    <w:rsid w:val="00152734"/>
    <w:rsid w:val="0016024A"/>
    <w:rsid w:val="001627BB"/>
    <w:rsid w:val="00163548"/>
    <w:rsid w:val="00170D12"/>
    <w:rsid w:val="001D6C33"/>
    <w:rsid w:val="001E5220"/>
    <w:rsid w:val="001F22ED"/>
    <w:rsid w:val="001F2B2A"/>
    <w:rsid w:val="002011AD"/>
    <w:rsid w:val="0020609B"/>
    <w:rsid w:val="00210776"/>
    <w:rsid w:val="0021795A"/>
    <w:rsid w:val="00231E44"/>
    <w:rsid w:val="00240967"/>
    <w:rsid w:val="002451FE"/>
    <w:rsid w:val="00245CBB"/>
    <w:rsid w:val="00264752"/>
    <w:rsid w:val="00281960"/>
    <w:rsid w:val="00293CA7"/>
    <w:rsid w:val="00296112"/>
    <w:rsid w:val="002A2512"/>
    <w:rsid w:val="002A486E"/>
    <w:rsid w:val="002A6AA7"/>
    <w:rsid w:val="002B0D14"/>
    <w:rsid w:val="002C1BC0"/>
    <w:rsid w:val="002C1FCA"/>
    <w:rsid w:val="002C4467"/>
    <w:rsid w:val="002D13E3"/>
    <w:rsid w:val="002D6F16"/>
    <w:rsid w:val="002D7149"/>
    <w:rsid w:val="002F07A8"/>
    <w:rsid w:val="002F1D19"/>
    <w:rsid w:val="003142BA"/>
    <w:rsid w:val="00316DE5"/>
    <w:rsid w:val="00320EA3"/>
    <w:rsid w:val="00322B7B"/>
    <w:rsid w:val="00323016"/>
    <w:rsid w:val="003358FD"/>
    <w:rsid w:val="00347C4E"/>
    <w:rsid w:val="00351CD2"/>
    <w:rsid w:val="0035255C"/>
    <w:rsid w:val="00353A74"/>
    <w:rsid w:val="00362424"/>
    <w:rsid w:val="003654C3"/>
    <w:rsid w:val="0037702B"/>
    <w:rsid w:val="00381099"/>
    <w:rsid w:val="00382B50"/>
    <w:rsid w:val="0039479B"/>
    <w:rsid w:val="003B7D76"/>
    <w:rsid w:val="003C06B5"/>
    <w:rsid w:val="003C3A69"/>
    <w:rsid w:val="003C7A8A"/>
    <w:rsid w:val="003D04EA"/>
    <w:rsid w:val="003E4458"/>
    <w:rsid w:val="00407D60"/>
    <w:rsid w:val="00427AF3"/>
    <w:rsid w:val="004322C7"/>
    <w:rsid w:val="00432435"/>
    <w:rsid w:val="00436D67"/>
    <w:rsid w:val="004435AB"/>
    <w:rsid w:val="0045796D"/>
    <w:rsid w:val="00465603"/>
    <w:rsid w:val="00472877"/>
    <w:rsid w:val="00472D65"/>
    <w:rsid w:val="0047494C"/>
    <w:rsid w:val="00483803"/>
    <w:rsid w:val="00490C20"/>
    <w:rsid w:val="00495FCA"/>
    <w:rsid w:val="00496429"/>
    <w:rsid w:val="004A1CFD"/>
    <w:rsid w:val="004A60C5"/>
    <w:rsid w:val="004A6CA4"/>
    <w:rsid w:val="004B46AB"/>
    <w:rsid w:val="004F3CD9"/>
    <w:rsid w:val="00511210"/>
    <w:rsid w:val="00521711"/>
    <w:rsid w:val="0053659B"/>
    <w:rsid w:val="00543DEE"/>
    <w:rsid w:val="005558BB"/>
    <w:rsid w:val="0055771D"/>
    <w:rsid w:val="00560B24"/>
    <w:rsid w:val="00565BC3"/>
    <w:rsid w:val="0058514E"/>
    <w:rsid w:val="00587C0E"/>
    <w:rsid w:val="005A2EF1"/>
    <w:rsid w:val="005C0DE3"/>
    <w:rsid w:val="005C2FC0"/>
    <w:rsid w:val="005D736F"/>
    <w:rsid w:val="005E0C56"/>
    <w:rsid w:val="005E2D4C"/>
    <w:rsid w:val="005F20AE"/>
    <w:rsid w:val="00601D07"/>
    <w:rsid w:val="00611639"/>
    <w:rsid w:val="0061384D"/>
    <w:rsid w:val="006139A0"/>
    <w:rsid w:val="006229F5"/>
    <w:rsid w:val="00632296"/>
    <w:rsid w:val="00632342"/>
    <w:rsid w:val="0063357D"/>
    <w:rsid w:val="00640D47"/>
    <w:rsid w:val="00665725"/>
    <w:rsid w:val="00694331"/>
    <w:rsid w:val="006C5801"/>
    <w:rsid w:val="006D5184"/>
    <w:rsid w:val="006D7BDB"/>
    <w:rsid w:val="006E4409"/>
    <w:rsid w:val="006F115E"/>
    <w:rsid w:val="006F7456"/>
    <w:rsid w:val="00704EB5"/>
    <w:rsid w:val="00716599"/>
    <w:rsid w:val="00716F04"/>
    <w:rsid w:val="00756D3F"/>
    <w:rsid w:val="00766E9E"/>
    <w:rsid w:val="00773909"/>
    <w:rsid w:val="00783F02"/>
    <w:rsid w:val="00785126"/>
    <w:rsid w:val="007A58B0"/>
    <w:rsid w:val="007B5239"/>
    <w:rsid w:val="007C276D"/>
    <w:rsid w:val="007C5B84"/>
    <w:rsid w:val="007D0AAC"/>
    <w:rsid w:val="007D46D3"/>
    <w:rsid w:val="007E3B76"/>
    <w:rsid w:val="007F2CA9"/>
    <w:rsid w:val="007F6844"/>
    <w:rsid w:val="0082411A"/>
    <w:rsid w:val="00854E86"/>
    <w:rsid w:val="00865084"/>
    <w:rsid w:val="00877322"/>
    <w:rsid w:val="008774F6"/>
    <w:rsid w:val="00881BFD"/>
    <w:rsid w:val="008833FB"/>
    <w:rsid w:val="008910DF"/>
    <w:rsid w:val="008A54BA"/>
    <w:rsid w:val="008B7120"/>
    <w:rsid w:val="008C0AAE"/>
    <w:rsid w:val="008C4319"/>
    <w:rsid w:val="008D0500"/>
    <w:rsid w:val="008D3AF2"/>
    <w:rsid w:val="008E3870"/>
    <w:rsid w:val="008F6F4D"/>
    <w:rsid w:val="00901E53"/>
    <w:rsid w:val="00920517"/>
    <w:rsid w:val="00924114"/>
    <w:rsid w:val="009333F6"/>
    <w:rsid w:val="00935314"/>
    <w:rsid w:val="00937ACA"/>
    <w:rsid w:val="009461C0"/>
    <w:rsid w:val="00952E75"/>
    <w:rsid w:val="0095567F"/>
    <w:rsid w:val="00957712"/>
    <w:rsid w:val="00972817"/>
    <w:rsid w:val="00972C80"/>
    <w:rsid w:val="009745E1"/>
    <w:rsid w:val="0097634E"/>
    <w:rsid w:val="0098521D"/>
    <w:rsid w:val="009A6C05"/>
    <w:rsid w:val="009B16B0"/>
    <w:rsid w:val="009B79B6"/>
    <w:rsid w:val="009C29DE"/>
    <w:rsid w:val="009C651A"/>
    <w:rsid w:val="009C681A"/>
    <w:rsid w:val="009D1BD9"/>
    <w:rsid w:val="009D2765"/>
    <w:rsid w:val="009D52A3"/>
    <w:rsid w:val="009D6502"/>
    <w:rsid w:val="009E7D64"/>
    <w:rsid w:val="009F4EA6"/>
    <w:rsid w:val="00A23CF2"/>
    <w:rsid w:val="00A30BC6"/>
    <w:rsid w:val="00A3164E"/>
    <w:rsid w:val="00A443CE"/>
    <w:rsid w:val="00A44A28"/>
    <w:rsid w:val="00A50C74"/>
    <w:rsid w:val="00A5253D"/>
    <w:rsid w:val="00A54B7D"/>
    <w:rsid w:val="00A5618C"/>
    <w:rsid w:val="00A62FAD"/>
    <w:rsid w:val="00A85586"/>
    <w:rsid w:val="00A91E24"/>
    <w:rsid w:val="00A95037"/>
    <w:rsid w:val="00A97BA8"/>
    <w:rsid w:val="00AA4FFC"/>
    <w:rsid w:val="00AB7D09"/>
    <w:rsid w:val="00AC68CC"/>
    <w:rsid w:val="00AD0286"/>
    <w:rsid w:val="00AE2090"/>
    <w:rsid w:val="00AF267E"/>
    <w:rsid w:val="00B16A5F"/>
    <w:rsid w:val="00B211BD"/>
    <w:rsid w:val="00B26750"/>
    <w:rsid w:val="00B46CA5"/>
    <w:rsid w:val="00B6588C"/>
    <w:rsid w:val="00B65EC9"/>
    <w:rsid w:val="00B67294"/>
    <w:rsid w:val="00B85826"/>
    <w:rsid w:val="00B87904"/>
    <w:rsid w:val="00B93D7B"/>
    <w:rsid w:val="00BA455E"/>
    <w:rsid w:val="00BB58E5"/>
    <w:rsid w:val="00BB7C1D"/>
    <w:rsid w:val="00BC056C"/>
    <w:rsid w:val="00BD11C5"/>
    <w:rsid w:val="00BE3607"/>
    <w:rsid w:val="00BE4A9A"/>
    <w:rsid w:val="00BE5E19"/>
    <w:rsid w:val="00BE70EE"/>
    <w:rsid w:val="00BF378B"/>
    <w:rsid w:val="00C06C99"/>
    <w:rsid w:val="00C12E10"/>
    <w:rsid w:val="00C215F1"/>
    <w:rsid w:val="00C32146"/>
    <w:rsid w:val="00C430F1"/>
    <w:rsid w:val="00C44B82"/>
    <w:rsid w:val="00C7235F"/>
    <w:rsid w:val="00C76217"/>
    <w:rsid w:val="00C86906"/>
    <w:rsid w:val="00C87303"/>
    <w:rsid w:val="00C912D2"/>
    <w:rsid w:val="00C9182A"/>
    <w:rsid w:val="00C9231C"/>
    <w:rsid w:val="00C94DBE"/>
    <w:rsid w:val="00C975E4"/>
    <w:rsid w:val="00CC12E5"/>
    <w:rsid w:val="00CD15C5"/>
    <w:rsid w:val="00CD3266"/>
    <w:rsid w:val="00D007AE"/>
    <w:rsid w:val="00D042BC"/>
    <w:rsid w:val="00D10437"/>
    <w:rsid w:val="00D10BE4"/>
    <w:rsid w:val="00D10D06"/>
    <w:rsid w:val="00D2094C"/>
    <w:rsid w:val="00D21D24"/>
    <w:rsid w:val="00D24438"/>
    <w:rsid w:val="00D56614"/>
    <w:rsid w:val="00D63C63"/>
    <w:rsid w:val="00D65989"/>
    <w:rsid w:val="00D957B0"/>
    <w:rsid w:val="00DA2F70"/>
    <w:rsid w:val="00DB0258"/>
    <w:rsid w:val="00DB11A8"/>
    <w:rsid w:val="00DD097F"/>
    <w:rsid w:val="00DD6B5B"/>
    <w:rsid w:val="00DE044A"/>
    <w:rsid w:val="00E03C70"/>
    <w:rsid w:val="00E15B0D"/>
    <w:rsid w:val="00E21485"/>
    <w:rsid w:val="00E25C6C"/>
    <w:rsid w:val="00E313EC"/>
    <w:rsid w:val="00E416C5"/>
    <w:rsid w:val="00E55A08"/>
    <w:rsid w:val="00E62C63"/>
    <w:rsid w:val="00E83CDB"/>
    <w:rsid w:val="00E86F43"/>
    <w:rsid w:val="00E94651"/>
    <w:rsid w:val="00E947C9"/>
    <w:rsid w:val="00EA0741"/>
    <w:rsid w:val="00EB5CB6"/>
    <w:rsid w:val="00EB739F"/>
    <w:rsid w:val="00ED2BC1"/>
    <w:rsid w:val="00EE0CE7"/>
    <w:rsid w:val="00EE1038"/>
    <w:rsid w:val="00EE1771"/>
    <w:rsid w:val="00EE5690"/>
    <w:rsid w:val="00EF2297"/>
    <w:rsid w:val="00EF638D"/>
    <w:rsid w:val="00F024C7"/>
    <w:rsid w:val="00F13C84"/>
    <w:rsid w:val="00F24A0E"/>
    <w:rsid w:val="00F2687F"/>
    <w:rsid w:val="00F32761"/>
    <w:rsid w:val="00F35996"/>
    <w:rsid w:val="00F475EC"/>
    <w:rsid w:val="00F71342"/>
    <w:rsid w:val="00F72626"/>
    <w:rsid w:val="00F83BDD"/>
    <w:rsid w:val="00F852B8"/>
    <w:rsid w:val="00F87329"/>
    <w:rsid w:val="00F97B64"/>
    <w:rsid w:val="00FA4BB9"/>
    <w:rsid w:val="00FA58E6"/>
    <w:rsid w:val="00FB416B"/>
    <w:rsid w:val="00FC05D5"/>
    <w:rsid w:val="00FC2AF7"/>
    <w:rsid w:val="00FC6D34"/>
    <w:rsid w:val="00FC7F4E"/>
    <w:rsid w:val="00FE1C3B"/>
    <w:rsid w:val="00FF37A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C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C3A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C3A69"/>
    <w:rPr>
      <w:sz w:val="20"/>
      <w:szCs w:val="20"/>
    </w:rPr>
  </w:style>
  <w:style w:type="character" w:styleId="Refdenotaalpie">
    <w:name w:val="footnote reference"/>
    <w:basedOn w:val="Fuentedeprrafopredeter"/>
    <w:uiPriority w:val="99"/>
    <w:semiHidden/>
    <w:unhideWhenUsed/>
    <w:rsid w:val="003C3A69"/>
    <w:rPr>
      <w:vertAlign w:val="superscript"/>
    </w:rPr>
  </w:style>
  <w:style w:type="character" w:styleId="Hipervnculo">
    <w:name w:val="Hyperlink"/>
    <w:basedOn w:val="Fuentedeprrafopredeter"/>
    <w:uiPriority w:val="99"/>
    <w:unhideWhenUsed/>
    <w:rsid w:val="002C4467"/>
    <w:rPr>
      <w:color w:val="0000FF" w:themeColor="hyperlink"/>
      <w:u w:val="single"/>
    </w:rPr>
  </w:style>
  <w:style w:type="paragraph" w:styleId="NormalWeb">
    <w:name w:val="Normal (Web)"/>
    <w:basedOn w:val="Normal"/>
    <w:uiPriority w:val="99"/>
    <w:unhideWhenUsed/>
    <w:rsid w:val="00972817"/>
    <w:pPr>
      <w:spacing w:before="100" w:beforeAutospacing="1" w:after="100" w:afterAutospacing="1" w:line="240" w:lineRule="auto"/>
    </w:pPr>
    <w:rPr>
      <w:rFonts w:ascii="Times New Roman" w:eastAsia="Times New Roman" w:hAnsi="Times New Roman" w:cs="Times New Roman"/>
      <w:color w:val="FFCC00"/>
      <w:sz w:val="24"/>
      <w:szCs w:val="24"/>
      <w:lang w:eastAsia="es-ES"/>
    </w:rPr>
  </w:style>
  <w:style w:type="paragraph" w:styleId="Prrafodelista">
    <w:name w:val="List Paragraph"/>
    <w:basedOn w:val="Normal"/>
    <w:uiPriority w:val="34"/>
    <w:qFormat/>
    <w:rsid w:val="00F97B64"/>
    <w:pPr>
      <w:ind w:left="720"/>
      <w:contextualSpacing/>
    </w:pPr>
  </w:style>
  <w:style w:type="character" w:customStyle="1" w:styleId="st1">
    <w:name w:val="st1"/>
    <w:basedOn w:val="Fuentedeprrafopredeter"/>
    <w:rsid w:val="0016024A"/>
  </w:style>
  <w:style w:type="paragraph" w:styleId="Textodeglobo">
    <w:name w:val="Balloon Text"/>
    <w:basedOn w:val="Normal"/>
    <w:link w:val="TextodegloboCar"/>
    <w:uiPriority w:val="99"/>
    <w:semiHidden/>
    <w:unhideWhenUsed/>
    <w:rsid w:val="00BC056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056C"/>
    <w:rPr>
      <w:rFonts w:ascii="Tahoma" w:hAnsi="Tahoma" w:cs="Tahoma"/>
      <w:sz w:val="16"/>
      <w:szCs w:val="16"/>
    </w:rPr>
  </w:style>
  <w:style w:type="paragraph" w:customStyle="1" w:styleId="body">
    <w:name w:val="body"/>
    <w:basedOn w:val="Normal"/>
    <w:rsid w:val="00F3276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3B7D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7D76"/>
  </w:style>
  <w:style w:type="paragraph" w:styleId="Piedepgina">
    <w:name w:val="footer"/>
    <w:basedOn w:val="Normal"/>
    <w:link w:val="PiedepginaCar"/>
    <w:uiPriority w:val="99"/>
    <w:unhideWhenUsed/>
    <w:rsid w:val="003B7D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B7D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C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C3A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C3A69"/>
    <w:rPr>
      <w:sz w:val="20"/>
      <w:szCs w:val="20"/>
    </w:rPr>
  </w:style>
  <w:style w:type="character" w:styleId="Refdenotaalpie">
    <w:name w:val="footnote reference"/>
    <w:basedOn w:val="Fuentedeprrafopredeter"/>
    <w:uiPriority w:val="99"/>
    <w:semiHidden/>
    <w:unhideWhenUsed/>
    <w:rsid w:val="003C3A69"/>
    <w:rPr>
      <w:vertAlign w:val="superscript"/>
    </w:rPr>
  </w:style>
  <w:style w:type="character" w:styleId="Hipervnculo">
    <w:name w:val="Hyperlink"/>
    <w:basedOn w:val="Fuentedeprrafopredeter"/>
    <w:uiPriority w:val="99"/>
    <w:unhideWhenUsed/>
    <w:rsid w:val="002C4467"/>
    <w:rPr>
      <w:color w:val="0000FF" w:themeColor="hyperlink"/>
      <w:u w:val="single"/>
    </w:rPr>
  </w:style>
  <w:style w:type="paragraph" w:styleId="NormalWeb">
    <w:name w:val="Normal (Web)"/>
    <w:basedOn w:val="Normal"/>
    <w:uiPriority w:val="99"/>
    <w:unhideWhenUsed/>
    <w:rsid w:val="00972817"/>
    <w:pPr>
      <w:spacing w:before="100" w:beforeAutospacing="1" w:after="100" w:afterAutospacing="1" w:line="240" w:lineRule="auto"/>
    </w:pPr>
    <w:rPr>
      <w:rFonts w:ascii="Times New Roman" w:eastAsia="Times New Roman" w:hAnsi="Times New Roman" w:cs="Times New Roman"/>
      <w:color w:val="FFCC00"/>
      <w:sz w:val="24"/>
      <w:szCs w:val="24"/>
      <w:lang w:eastAsia="es-ES"/>
    </w:rPr>
  </w:style>
  <w:style w:type="paragraph" w:styleId="Prrafodelista">
    <w:name w:val="List Paragraph"/>
    <w:basedOn w:val="Normal"/>
    <w:uiPriority w:val="34"/>
    <w:qFormat/>
    <w:rsid w:val="00F97B64"/>
    <w:pPr>
      <w:ind w:left="720"/>
      <w:contextualSpacing/>
    </w:pPr>
  </w:style>
  <w:style w:type="character" w:customStyle="1" w:styleId="st1">
    <w:name w:val="st1"/>
    <w:basedOn w:val="Fuentedeprrafopredeter"/>
    <w:rsid w:val="0016024A"/>
  </w:style>
  <w:style w:type="paragraph" w:styleId="Textodeglobo">
    <w:name w:val="Balloon Text"/>
    <w:basedOn w:val="Normal"/>
    <w:link w:val="TextodegloboCar"/>
    <w:uiPriority w:val="99"/>
    <w:semiHidden/>
    <w:unhideWhenUsed/>
    <w:rsid w:val="00BC056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056C"/>
    <w:rPr>
      <w:rFonts w:ascii="Tahoma" w:hAnsi="Tahoma" w:cs="Tahoma"/>
      <w:sz w:val="16"/>
      <w:szCs w:val="16"/>
    </w:rPr>
  </w:style>
  <w:style w:type="paragraph" w:customStyle="1" w:styleId="body">
    <w:name w:val="body"/>
    <w:basedOn w:val="Normal"/>
    <w:rsid w:val="00F3276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3B7D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7D76"/>
  </w:style>
  <w:style w:type="paragraph" w:styleId="Piedepgina">
    <w:name w:val="footer"/>
    <w:basedOn w:val="Normal"/>
    <w:link w:val="PiedepginaCar"/>
    <w:uiPriority w:val="99"/>
    <w:unhideWhenUsed/>
    <w:rsid w:val="003B7D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B7D76"/>
  </w:style>
</w:styles>
</file>

<file path=word/webSettings.xml><?xml version="1.0" encoding="utf-8"?>
<w:webSettings xmlns:r="http://schemas.openxmlformats.org/officeDocument/2006/relationships" xmlns:w="http://schemas.openxmlformats.org/wordprocessingml/2006/main">
  <w:divs>
    <w:div w:id="64690801">
      <w:bodyDiv w:val="1"/>
      <w:marLeft w:val="0"/>
      <w:marRight w:val="0"/>
      <w:marTop w:val="0"/>
      <w:marBottom w:val="0"/>
      <w:divBdr>
        <w:top w:val="none" w:sz="0" w:space="0" w:color="auto"/>
        <w:left w:val="none" w:sz="0" w:space="0" w:color="auto"/>
        <w:bottom w:val="none" w:sz="0" w:space="0" w:color="auto"/>
        <w:right w:val="none" w:sz="0" w:space="0" w:color="auto"/>
      </w:divBdr>
      <w:divsChild>
        <w:div w:id="1099988000">
          <w:marLeft w:val="0"/>
          <w:marRight w:val="0"/>
          <w:marTop w:val="0"/>
          <w:marBottom w:val="0"/>
          <w:divBdr>
            <w:top w:val="none" w:sz="0" w:space="0" w:color="auto"/>
            <w:left w:val="none" w:sz="0" w:space="0" w:color="auto"/>
            <w:bottom w:val="none" w:sz="0" w:space="0" w:color="auto"/>
            <w:right w:val="none" w:sz="0" w:space="0" w:color="auto"/>
          </w:divBdr>
          <w:divsChild>
            <w:div w:id="1418484027">
              <w:marLeft w:val="0"/>
              <w:marRight w:val="0"/>
              <w:marTop w:val="0"/>
              <w:marBottom w:val="0"/>
              <w:divBdr>
                <w:top w:val="none" w:sz="0" w:space="0" w:color="auto"/>
                <w:left w:val="none" w:sz="0" w:space="0" w:color="auto"/>
                <w:bottom w:val="none" w:sz="0" w:space="0" w:color="auto"/>
                <w:right w:val="none" w:sz="0" w:space="0" w:color="auto"/>
              </w:divBdr>
              <w:divsChild>
                <w:div w:id="1273515963">
                  <w:marLeft w:val="0"/>
                  <w:marRight w:val="0"/>
                  <w:marTop w:val="0"/>
                  <w:marBottom w:val="450"/>
                  <w:divBdr>
                    <w:top w:val="none" w:sz="0" w:space="0" w:color="auto"/>
                    <w:left w:val="none" w:sz="0" w:space="0" w:color="auto"/>
                    <w:bottom w:val="none" w:sz="0" w:space="0" w:color="auto"/>
                    <w:right w:val="none" w:sz="0" w:space="0" w:color="auto"/>
                  </w:divBdr>
                  <w:divsChild>
                    <w:div w:id="1971354971">
                      <w:marLeft w:val="150"/>
                      <w:marRight w:val="150"/>
                      <w:marTop w:val="75"/>
                      <w:marBottom w:val="300"/>
                      <w:divBdr>
                        <w:top w:val="none" w:sz="0" w:space="0" w:color="auto"/>
                        <w:left w:val="none" w:sz="0" w:space="0" w:color="auto"/>
                        <w:bottom w:val="single" w:sz="6" w:space="15" w:color="003399"/>
                        <w:right w:val="none" w:sz="0" w:space="0" w:color="auto"/>
                      </w:divBdr>
                      <w:divsChild>
                        <w:div w:id="833836761">
                          <w:marLeft w:val="0"/>
                          <w:marRight w:val="0"/>
                          <w:marTop w:val="0"/>
                          <w:marBottom w:val="0"/>
                          <w:divBdr>
                            <w:top w:val="none" w:sz="0" w:space="0" w:color="auto"/>
                            <w:left w:val="none" w:sz="0" w:space="0" w:color="auto"/>
                            <w:bottom w:val="none" w:sz="0" w:space="0" w:color="auto"/>
                            <w:right w:val="none" w:sz="0" w:space="0" w:color="auto"/>
                          </w:divBdr>
                          <w:divsChild>
                            <w:div w:id="129964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10201">
      <w:bodyDiv w:val="1"/>
      <w:marLeft w:val="0"/>
      <w:marRight w:val="0"/>
      <w:marTop w:val="0"/>
      <w:marBottom w:val="0"/>
      <w:divBdr>
        <w:top w:val="none" w:sz="0" w:space="0" w:color="auto"/>
        <w:left w:val="none" w:sz="0" w:space="0" w:color="auto"/>
        <w:bottom w:val="none" w:sz="0" w:space="0" w:color="auto"/>
        <w:right w:val="none" w:sz="0" w:space="0" w:color="auto"/>
      </w:divBdr>
      <w:divsChild>
        <w:div w:id="1280530643">
          <w:marLeft w:val="0"/>
          <w:marRight w:val="0"/>
          <w:marTop w:val="0"/>
          <w:marBottom w:val="0"/>
          <w:divBdr>
            <w:top w:val="none" w:sz="0" w:space="0" w:color="auto"/>
            <w:left w:val="none" w:sz="0" w:space="0" w:color="auto"/>
            <w:bottom w:val="none" w:sz="0" w:space="0" w:color="auto"/>
            <w:right w:val="none" w:sz="0" w:space="0" w:color="auto"/>
          </w:divBdr>
          <w:divsChild>
            <w:div w:id="1813132087">
              <w:marLeft w:val="0"/>
              <w:marRight w:val="0"/>
              <w:marTop w:val="0"/>
              <w:marBottom w:val="0"/>
              <w:divBdr>
                <w:top w:val="none" w:sz="0" w:space="0" w:color="auto"/>
                <w:left w:val="none" w:sz="0" w:space="0" w:color="auto"/>
                <w:bottom w:val="none" w:sz="0" w:space="0" w:color="auto"/>
                <w:right w:val="none" w:sz="0" w:space="0" w:color="auto"/>
              </w:divBdr>
              <w:divsChild>
                <w:div w:id="73593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34871">
      <w:bodyDiv w:val="1"/>
      <w:marLeft w:val="0"/>
      <w:marRight w:val="0"/>
      <w:marTop w:val="0"/>
      <w:marBottom w:val="0"/>
      <w:divBdr>
        <w:top w:val="none" w:sz="0" w:space="0" w:color="auto"/>
        <w:left w:val="none" w:sz="0" w:space="0" w:color="auto"/>
        <w:bottom w:val="none" w:sz="0" w:space="0" w:color="auto"/>
        <w:right w:val="none" w:sz="0" w:space="0" w:color="auto"/>
      </w:divBdr>
    </w:div>
    <w:div w:id="103427670">
      <w:bodyDiv w:val="1"/>
      <w:marLeft w:val="0"/>
      <w:marRight w:val="0"/>
      <w:marTop w:val="0"/>
      <w:marBottom w:val="0"/>
      <w:divBdr>
        <w:top w:val="none" w:sz="0" w:space="0" w:color="auto"/>
        <w:left w:val="none" w:sz="0" w:space="0" w:color="auto"/>
        <w:bottom w:val="none" w:sz="0" w:space="0" w:color="auto"/>
        <w:right w:val="none" w:sz="0" w:space="0" w:color="auto"/>
      </w:divBdr>
      <w:divsChild>
        <w:div w:id="1856115283">
          <w:marLeft w:val="0"/>
          <w:marRight w:val="0"/>
          <w:marTop w:val="0"/>
          <w:marBottom w:val="0"/>
          <w:divBdr>
            <w:top w:val="none" w:sz="0" w:space="0" w:color="auto"/>
            <w:left w:val="none" w:sz="0" w:space="0" w:color="auto"/>
            <w:bottom w:val="none" w:sz="0" w:space="0" w:color="auto"/>
            <w:right w:val="none" w:sz="0" w:space="0" w:color="auto"/>
          </w:divBdr>
          <w:divsChild>
            <w:div w:id="873738640">
              <w:marLeft w:val="0"/>
              <w:marRight w:val="0"/>
              <w:marTop w:val="0"/>
              <w:marBottom w:val="0"/>
              <w:divBdr>
                <w:top w:val="none" w:sz="0" w:space="0" w:color="auto"/>
                <w:left w:val="none" w:sz="0" w:space="0" w:color="auto"/>
                <w:bottom w:val="none" w:sz="0" w:space="0" w:color="auto"/>
                <w:right w:val="none" w:sz="0" w:space="0" w:color="auto"/>
              </w:divBdr>
              <w:divsChild>
                <w:div w:id="1958365460">
                  <w:marLeft w:val="0"/>
                  <w:marRight w:val="0"/>
                  <w:marTop w:val="0"/>
                  <w:marBottom w:val="450"/>
                  <w:divBdr>
                    <w:top w:val="none" w:sz="0" w:space="0" w:color="auto"/>
                    <w:left w:val="none" w:sz="0" w:space="0" w:color="auto"/>
                    <w:bottom w:val="none" w:sz="0" w:space="0" w:color="auto"/>
                    <w:right w:val="none" w:sz="0" w:space="0" w:color="auto"/>
                  </w:divBdr>
                  <w:divsChild>
                    <w:div w:id="67269423">
                      <w:marLeft w:val="150"/>
                      <w:marRight w:val="150"/>
                      <w:marTop w:val="75"/>
                      <w:marBottom w:val="300"/>
                      <w:divBdr>
                        <w:top w:val="none" w:sz="0" w:space="0" w:color="auto"/>
                        <w:left w:val="none" w:sz="0" w:space="0" w:color="auto"/>
                        <w:bottom w:val="single" w:sz="6" w:space="15" w:color="003399"/>
                        <w:right w:val="none" w:sz="0" w:space="0" w:color="auto"/>
                      </w:divBdr>
                      <w:divsChild>
                        <w:div w:id="1589386766">
                          <w:marLeft w:val="0"/>
                          <w:marRight w:val="0"/>
                          <w:marTop w:val="0"/>
                          <w:marBottom w:val="0"/>
                          <w:divBdr>
                            <w:top w:val="none" w:sz="0" w:space="0" w:color="auto"/>
                            <w:left w:val="none" w:sz="0" w:space="0" w:color="auto"/>
                            <w:bottom w:val="none" w:sz="0" w:space="0" w:color="auto"/>
                            <w:right w:val="none" w:sz="0" w:space="0" w:color="auto"/>
                          </w:divBdr>
                          <w:divsChild>
                            <w:div w:id="15912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50267">
      <w:bodyDiv w:val="1"/>
      <w:marLeft w:val="0"/>
      <w:marRight w:val="0"/>
      <w:marTop w:val="0"/>
      <w:marBottom w:val="0"/>
      <w:divBdr>
        <w:top w:val="none" w:sz="0" w:space="0" w:color="auto"/>
        <w:left w:val="none" w:sz="0" w:space="0" w:color="auto"/>
        <w:bottom w:val="none" w:sz="0" w:space="0" w:color="auto"/>
        <w:right w:val="none" w:sz="0" w:space="0" w:color="auto"/>
      </w:divBdr>
    </w:div>
    <w:div w:id="214857605">
      <w:bodyDiv w:val="1"/>
      <w:marLeft w:val="0"/>
      <w:marRight w:val="0"/>
      <w:marTop w:val="0"/>
      <w:marBottom w:val="0"/>
      <w:divBdr>
        <w:top w:val="none" w:sz="0" w:space="0" w:color="auto"/>
        <w:left w:val="none" w:sz="0" w:space="0" w:color="auto"/>
        <w:bottom w:val="none" w:sz="0" w:space="0" w:color="auto"/>
        <w:right w:val="none" w:sz="0" w:space="0" w:color="auto"/>
      </w:divBdr>
      <w:divsChild>
        <w:div w:id="849031712">
          <w:marLeft w:val="0"/>
          <w:marRight w:val="0"/>
          <w:marTop w:val="0"/>
          <w:marBottom w:val="0"/>
          <w:divBdr>
            <w:top w:val="none" w:sz="0" w:space="0" w:color="auto"/>
            <w:left w:val="none" w:sz="0" w:space="0" w:color="auto"/>
            <w:bottom w:val="none" w:sz="0" w:space="0" w:color="auto"/>
            <w:right w:val="none" w:sz="0" w:space="0" w:color="auto"/>
          </w:divBdr>
          <w:divsChild>
            <w:div w:id="1888493001">
              <w:marLeft w:val="0"/>
              <w:marRight w:val="0"/>
              <w:marTop w:val="0"/>
              <w:marBottom w:val="0"/>
              <w:divBdr>
                <w:top w:val="none" w:sz="0" w:space="0" w:color="auto"/>
                <w:left w:val="none" w:sz="0" w:space="0" w:color="auto"/>
                <w:bottom w:val="none" w:sz="0" w:space="0" w:color="auto"/>
                <w:right w:val="none" w:sz="0" w:space="0" w:color="auto"/>
              </w:divBdr>
              <w:divsChild>
                <w:div w:id="2125734941">
                  <w:marLeft w:val="0"/>
                  <w:marRight w:val="0"/>
                  <w:marTop w:val="0"/>
                  <w:marBottom w:val="0"/>
                  <w:divBdr>
                    <w:top w:val="none" w:sz="0" w:space="0" w:color="auto"/>
                    <w:left w:val="none" w:sz="0" w:space="0" w:color="auto"/>
                    <w:bottom w:val="none" w:sz="0" w:space="0" w:color="auto"/>
                    <w:right w:val="none" w:sz="0" w:space="0" w:color="auto"/>
                  </w:divBdr>
                  <w:divsChild>
                    <w:div w:id="195000895">
                      <w:marLeft w:val="0"/>
                      <w:marRight w:val="0"/>
                      <w:marTop w:val="0"/>
                      <w:marBottom w:val="0"/>
                      <w:divBdr>
                        <w:top w:val="none" w:sz="0" w:space="0" w:color="auto"/>
                        <w:left w:val="none" w:sz="0" w:space="0" w:color="auto"/>
                        <w:bottom w:val="none" w:sz="0" w:space="0" w:color="auto"/>
                        <w:right w:val="none" w:sz="0" w:space="0" w:color="auto"/>
                      </w:divBdr>
                      <w:divsChild>
                        <w:div w:id="2112357703">
                          <w:marLeft w:val="0"/>
                          <w:marRight w:val="0"/>
                          <w:marTop w:val="0"/>
                          <w:marBottom w:val="0"/>
                          <w:divBdr>
                            <w:top w:val="none" w:sz="0" w:space="0" w:color="auto"/>
                            <w:left w:val="none" w:sz="0" w:space="0" w:color="auto"/>
                            <w:bottom w:val="none" w:sz="0" w:space="0" w:color="auto"/>
                            <w:right w:val="none" w:sz="0" w:space="0" w:color="auto"/>
                          </w:divBdr>
                          <w:divsChild>
                            <w:div w:id="507869406">
                              <w:marLeft w:val="0"/>
                              <w:marRight w:val="0"/>
                              <w:marTop w:val="0"/>
                              <w:marBottom w:val="0"/>
                              <w:divBdr>
                                <w:top w:val="none" w:sz="0" w:space="0" w:color="auto"/>
                                <w:left w:val="none" w:sz="0" w:space="0" w:color="auto"/>
                                <w:bottom w:val="none" w:sz="0" w:space="0" w:color="auto"/>
                                <w:right w:val="none" w:sz="0" w:space="0" w:color="auto"/>
                              </w:divBdr>
                              <w:divsChild>
                                <w:div w:id="1096175135">
                                  <w:marLeft w:val="0"/>
                                  <w:marRight w:val="0"/>
                                  <w:marTop w:val="0"/>
                                  <w:marBottom w:val="0"/>
                                  <w:divBdr>
                                    <w:top w:val="none" w:sz="0" w:space="0" w:color="auto"/>
                                    <w:left w:val="none" w:sz="0" w:space="0" w:color="auto"/>
                                    <w:bottom w:val="none" w:sz="0" w:space="0" w:color="auto"/>
                                    <w:right w:val="none" w:sz="0" w:space="0" w:color="auto"/>
                                  </w:divBdr>
                                  <w:divsChild>
                                    <w:div w:id="382608215">
                                      <w:marLeft w:val="0"/>
                                      <w:marRight w:val="0"/>
                                      <w:marTop w:val="0"/>
                                      <w:marBottom w:val="0"/>
                                      <w:divBdr>
                                        <w:top w:val="none" w:sz="0" w:space="0" w:color="auto"/>
                                        <w:left w:val="none" w:sz="0" w:space="0" w:color="auto"/>
                                        <w:bottom w:val="none" w:sz="0" w:space="0" w:color="auto"/>
                                        <w:right w:val="none" w:sz="0" w:space="0" w:color="auto"/>
                                      </w:divBdr>
                                      <w:divsChild>
                                        <w:div w:id="1974434024">
                                          <w:marLeft w:val="0"/>
                                          <w:marRight w:val="0"/>
                                          <w:marTop w:val="0"/>
                                          <w:marBottom w:val="0"/>
                                          <w:divBdr>
                                            <w:top w:val="none" w:sz="0" w:space="0" w:color="auto"/>
                                            <w:left w:val="none" w:sz="0" w:space="0" w:color="auto"/>
                                            <w:bottom w:val="none" w:sz="0" w:space="0" w:color="auto"/>
                                            <w:right w:val="none" w:sz="0" w:space="0" w:color="auto"/>
                                          </w:divBdr>
                                          <w:divsChild>
                                            <w:div w:id="1957516424">
                                              <w:marLeft w:val="150"/>
                                              <w:marRight w:val="150"/>
                                              <w:marTop w:val="150"/>
                                              <w:marBottom w:val="300"/>
                                              <w:divBdr>
                                                <w:top w:val="none" w:sz="0" w:space="0" w:color="auto"/>
                                                <w:left w:val="none" w:sz="0" w:space="0" w:color="auto"/>
                                                <w:bottom w:val="none" w:sz="0" w:space="0" w:color="auto"/>
                                                <w:right w:val="none" w:sz="0" w:space="0" w:color="auto"/>
                                              </w:divBdr>
                                              <w:divsChild>
                                                <w:div w:id="1549410669">
                                                  <w:marLeft w:val="0"/>
                                                  <w:marRight w:val="0"/>
                                                  <w:marTop w:val="0"/>
                                                  <w:marBottom w:val="0"/>
                                                  <w:divBdr>
                                                    <w:top w:val="none" w:sz="0" w:space="0" w:color="auto"/>
                                                    <w:left w:val="none" w:sz="0" w:space="0" w:color="auto"/>
                                                    <w:bottom w:val="none" w:sz="0" w:space="0" w:color="auto"/>
                                                    <w:right w:val="none" w:sz="0" w:space="0" w:color="auto"/>
                                                  </w:divBdr>
                                                  <w:divsChild>
                                                    <w:div w:id="1407921214">
                                                      <w:marLeft w:val="0"/>
                                                      <w:marRight w:val="0"/>
                                                      <w:marTop w:val="0"/>
                                                      <w:marBottom w:val="0"/>
                                                      <w:divBdr>
                                                        <w:top w:val="none" w:sz="0" w:space="0" w:color="auto"/>
                                                        <w:left w:val="none" w:sz="0" w:space="0" w:color="auto"/>
                                                        <w:bottom w:val="none" w:sz="0" w:space="0" w:color="auto"/>
                                                        <w:right w:val="none" w:sz="0" w:space="0" w:color="auto"/>
                                                      </w:divBdr>
                                                      <w:divsChild>
                                                        <w:div w:id="1769814049">
                                                          <w:marLeft w:val="0"/>
                                                          <w:marRight w:val="0"/>
                                                          <w:marTop w:val="0"/>
                                                          <w:marBottom w:val="0"/>
                                                          <w:divBdr>
                                                            <w:top w:val="none" w:sz="0" w:space="0" w:color="auto"/>
                                                            <w:left w:val="none" w:sz="0" w:space="0" w:color="auto"/>
                                                            <w:bottom w:val="none" w:sz="0" w:space="0" w:color="auto"/>
                                                            <w:right w:val="none" w:sz="0" w:space="0" w:color="auto"/>
                                                          </w:divBdr>
                                                          <w:divsChild>
                                                            <w:div w:id="93016717">
                                                              <w:marLeft w:val="0"/>
                                                              <w:marRight w:val="0"/>
                                                              <w:marTop w:val="0"/>
                                                              <w:marBottom w:val="0"/>
                                                              <w:divBdr>
                                                                <w:top w:val="none" w:sz="0" w:space="0" w:color="auto"/>
                                                                <w:left w:val="none" w:sz="0" w:space="0" w:color="auto"/>
                                                                <w:bottom w:val="none" w:sz="0" w:space="0" w:color="auto"/>
                                                                <w:right w:val="none" w:sz="0" w:space="0" w:color="auto"/>
                                                              </w:divBdr>
                                                            </w:div>
                                                            <w:div w:id="422189327">
                                                              <w:marLeft w:val="0"/>
                                                              <w:marRight w:val="0"/>
                                                              <w:marTop w:val="0"/>
                                                              <w:marBottom w:val="0"/>
                                                              <w:divBdr>
                                                                <w:top w:val="none" w:sz="0" w:space="0" w:color="auto"/>
                                                                <w:left w:val="none" w:sz="0" w:space="0" w:color="auto"/>
                                                                <w:bottom w:val="none" w:sz="0" w:space="0" w:color="auto"/>
                                                                <w:right w:val="none" w:sz="0" w:space="0" w:color="auto"/>
                                                              </w:divBdr>
                                                            </w:div>
                                                            <w:div w:id="162033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5337320">
      <w:bodyDiv w:val="1"/>
      <w:marLeft w:val="0"/>
      <w:marRight w:val="0"/>
      <w:marTop w:val="0"/>
      <w:marBottom w:val="0"/>
      <w:divBdr>
        <w:top w:val="none" w:sz="0" w:space="0" w:color="auto"/>
        <w:left w:val="none" w:sz="0" w:space="0" w:color="auto"/>
        <w:bottom w:val="none" w:sz="0" w:space="0" w:color="auto"/>
        <w:right w:val="none" w:sz="0" w:space="0" w:color="auto"/>
      </w:divBdr>
      <w:divsChild>
        <w:div w:id="352532211">
          <w:marLeft w:val="0"/>
          <w:marRight w:val="0"/>
          <w:marTop w:val="0"/>
          <w:marBottom w:val="0"/>
          <w:divBdr>
            <w:top w:val="none" w:sz="0" w:space="0" w:color="auto"/>
            <w:left w:val="none" w:sz="0" w:space="0" w:color="auto"/>
            <w:bottom w:val="none" w:sz="0" w:space="0" w:color="auto"/>
            <w:right w:val="none" w:sz="0" w:space="0" w:color="auto"/>
          </w:divBdr>
          <w:divsChild>
            <w:div w:id="529270068">
              <w:marLeft w:val="0"/>
              <w:marRight w:val="0"/>
              <w:marTop w:val="0"/>
              <w:marBottom w:val="0"/>
              <w:divBdr>
                <w:top w:val="none" w:sz="0" w:space="0" w:color="auto"/>
                <w:left w:val="none" w:sz="0" w:space="0" w:color="auto"/>
                <w:bottom w:val="none" w:sz="0" w:space="0" w:color="auto"/>
                <w:right w:val="none" w:sz="0" w:space="0" w:color="auto"/>
              </w:divBdr>
              <w:divsChild>
                <w:div w:id="1902859311">
                  <w:marLeft w:val="0"/>
                  <w:marRight w:val="0"/>
                  <w:marTop w:val="0"/>
                  <w:marBottom w:val="0"/>
                  <w:divBdr>
                    <w:top w:val="none" w:sz="0" w:space="0" w:color="auto"/>
                    <w:left w:val="none" w:sz="0" w:space="0" w:color="auto"/>
                    <w:bottom w:val="none" w:sz="0" w:space="0" w:color="auto"/>
                    <w:right w:val="none" w:sz="0" w:space="0" w:color="auto"/>
                  </w:divBdr>
                  <w:divsChild>
                    <w:div w:id="1129587494">
                      <w:marLeft w:val="0"/>
                      <w:marRight w:val="0"/>
                      <w:marTop w:val="0"/>
                      <w:marBottom w:val="0"/>
                      <w:divBdr>
                        <w:top w:val="none" w:sz="0" w:space="0" w:color="auto"/>
                        <w:left w:val="none" w:sz="0" w:space="0" w:color="auto"/>
                        <w:bottom w:val="none" w:sz="0" w:space="0" w:color="auto"/>
                        <w:right w:val="none" w:sz="0" w:space="0" w:color="auto"/>
                      </w:divBdr>
                      <w:divsChild>
                        <w:div w:id="1543323077">
                          <w:marLeft w:val="0"/>
                          <w:marRight w:val="0"/>
                          <w:marTop w:val="0"/>
                          <w:marBottom w:val="0"/>
                          <w:divBdr>
                            <w:top w:val="none" w:sz="0" w:space="0" w:color="auto"/>
                            <w:left w:val="none" w:sz="0" w:space="0" w:color="auto"/>
                            <w:bottom w:val="none" w:sz="0" w:space="0" w:color="auto"/>
                            <w:right w:val="none" w:sz="0" w:space="0" w:color="auto"/>
                          </w:divBdr>
                          <w:divsChild>
                            <w:div w:id="15528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570">
      <w:bodyDiv w:val="1"/>
      <w:marLeft w:val="0"/>
      <w:marRight w:val="0"/>
      <w:marTop w:val="0"/>
      <w:marBottom w:val="0"/>
      <w:divBdr>
        <w:top w:val="none" w:sz="0" w:space="0" w:color="auto"/>
        <w:left w:val="none" w:sz="0" w:space="0" w:color="auto"/>
        <w:bottom w:val="none" w:sz="0" w:space="0" w:color="auto"/>
        <w:right w:val="none" w:sz="0" w:space="0" w:color="auto"/>
      </w:divBdr>
    </w:div>
    <w:div w:id="495657770">
      <w:bodyDiv w:val="1"/>
      <w:marLeft w:val="0"/>
      <w:marRight w:val="0"/>
      <w:marTop w:val="0"/>
      <w:marBottom w:val="0"/>
      <w:divBdr>
        <w:top w:val="none" w:sz="0" w:space="0" w:color="auto"/>
        <w:left w:val="none" w:sz="0" w:space="0" w:color="auto"/>
        <w:bottom w:val="none" w:sz="0" w:space="0" w:color="auto"/>
        <w:right w:val="none" w:sz="0" w:space="0" w:color="auto"/>
      </w:divBdr>
      <w:divsChild>
        <w:div w:id="2107342391">
          <w:marLeft w:val="0"/>
          <w:marRight w:val="0"/>
          <w:marTop w:val="0"/>
          <w:marBottom w:val="0"/>
          <w:divBdr>
            <w:top w:val="none" w:sz="0" w:space="0" w:color="auto"/>
            <w:left w:val="none" w:sz="0" w:space="0" w:color="auto"/>
            <w:bottom w:val="none" w:sz="0" w:space="0" w:color="auto"/>
            <w:right w:val="none" w:sz="0" w:space="0" w:color="auto"/>
          </w:divBdr>
          <w:divsChild>
            <w:div w:id="1087655057">
              <w:marLeft w:val="0"/>
              <w:marRight w:val="0"/>
              <w:marTop w:val="0"/>
              <w:marBottom w:val="0"/>
              <w:divBdr>
                <w:top w:val="none" w:sz="0" w:space="0" w:color="auto"/>
                <w:left w:val="none" w:sz="0" w:space="0" w:color="auto"/>
                <w:bottom w:val="none" w:sz="0" w:space="0" w:color="auto"/>
                <w:right w:val="none" w:sz="0" w:space="0" w:color="auto"/>
              </w:divBdr>
              <w:divsChild>
                <w:div w:id="14645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88541">
      <w:bodyDiv w:val="1"/>
      <w:marLeft w:val="0"/>
      <w:marRight w:val="0"/>
      <w:marTop w:val="0"/>
      <w:marBottom w:val="0"/>
      <w:divBdr>
        <w:top w:val="none" w:sz="0" w:space="0" w:color="auto"/>
        <w:left w:val="none" w:sz="0" w:space="0" w:color="auto"/>
        <w:bottom w:val="none" w:sz="0" w:space="0" w:color="auto"/>
        <w:right w:val="none" w:sz="0" w:space="0" w:color="auto"/>
      </w:divBdr>
      <w:divsChild>
        <w:div w:id="1407344414">
          <w:marLeft w:val="0"/>
          <w:marRight w:val="0"/>
          <w:marTop w:val="0"/>
          <w:marBottom w:val="0"/>
          <w:divBdr>
            <w:top w:val="none" w:sz="0" w:space="0" w:color="auto"/>
            <w:left w:val="none" w:sz="0" w:space="0" w:color="auto"/>
            <w:bottom w:val="none" w:sz="0" w:space="0" w:color="auto"/>
            <w:right w:val="none" w:sz="0" w:space="0" w:color="auto"/>
          </w:divBdr>
          <w:divsChild>
            <w:div w:id="597258070">
              <w:marLeft w:val="0"/>
              <w:marRight w:val="0"/>
              <w:marTop w:val="0"/>
              <w:marBottom w:val="0"/>
              <w:divBdr>
                <w:top w:val="none" w:sz="0" w:space="0" w:color="auto"/>
                <w:left w:val="none" w:sz="0" w:space="0" w:color="auto"/>
                <w:bottom w:val="none" w:sz="0" w:space="0" w:color="auto"/>
                <w:right w:val="none" w:sz="0" w:space="0" w:color="auto"/>
              </w:divBdr>
              <w:divsChild>
                <w:div w:id="206261879">
                  <w:marLeft w:val="0"/>
                  <w:marRight w:val="0"/>
                  <w:marTop w:val="0"/>
                  <w:marBottom w:val="0"/>
                  <w:divBdr>
                    <w:top w:val="none" w:sz="0" w:space="0" w:color="auto"/>
                    <w:left w:val="none" w:sz="0" w:space="0" w:color="auto"/>
                    <w:bottom w:val="none" w:sz="0" w:space="0" w:color="auto"/>
                    <w:right w:val="none" w:sz="0" w:space="0" w:color="auto"/>
                  </w:divBdr>
                </w:div>
                <w:div w:id="1142162373">
                  <w:marLeft w:val="0"/>
                  <w:marRight w:val="0"/>
                  <w:marTop w:val="0"/>
                  <w:marBottom w:val="0"/>
                  <w:divBdr>
                    <w:top w:val="none" w:sz="0" w:space="0" w:color="auto"/>
                    <w:left w:val="none" w:sz="0" w:space="0" w:color="auto"/>
                    <w:bottom w:val="none" w:sz="0" w:space="0" w:color="auto"/>
                    <w:right w:val="none" w:sz="0" w:space="0" w:color="auto"/>
                  </w:divBdr>
                  <w:divsChild>
                    <w:div w:id="373845552">
                      <w:marLeft w:val="0"/>
                      <w:marRight w:val="0"/>
                      <w:marTop w:val="0"/>
                      <w:marBottom w:val="0"/>
                      <w:divBdr>
                        <w:top w:val="none" w:sz="0" w:space="0" w:color="auto"/>
                        <w:left w:val="none" w:sz="0" w:space="0" w:color="auto"/>
                        <w:bottom w:val="none" w:sz="0" w:space="0" w:color="auto"/>
                        <w:right w:val="none" w:sz="0" w:space="0" w:color="auto"/>
                      </w:divBdr>
                    </w:div>
                  </w:divsChild>
                </w:div>
                <w:div w:id="13712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703889">
      <w:bodyDiv w:val="1"/>
      <w:marLeft w:val="60"/>
      <w:marRight w:val="60"/>
      <w:marTop w:val="0"/>
      <w:marBottom w:val="0"/>
      <w:divBdr>
        <w:top w:val="none" w:sz="0" w:space="0" w:color="auto"/>
        <w:left w:val="none" w:sz="0" w:space="0" w:color="auto"/>
        <w:bottom w:val="none" w:sz="0" w:space="0" w:color="auto"/>
        <w:right w:val="none" w:sz="0" w:space="0" w:color="auto"/>
      </w:divBdr>
      <w:divsChild>
        <w:div w:id="627009801">
          <w:marLeft w:val="0"/>
          <w:marRight w:val="0"/>
          <w:marTop w:val="0"/>
          <w:marBottom w:val="0"/>
          <w:divBdr>
            <w:top w:val="none" w:sz="0" w:space="0" w:color="auto"/>
            <w:left w:val="none" w:sz="0" w:space="0" w:color="auto"/>
            <w:bottom w:val="none" w:sz="0" w:space="0" w:color="auto"/>
            <w:right w:val="none" w:sz="0" w:space="0" w:color="auto"/>
          </w:divBdr>
          <w:divsChild>
            <w:div w:id="1028917503">
              <w:marLeft w:val="0"/>
              <w:marRight w:val="0"/>
              <w:marTop w:val="0"/>
              <w:marBottom w:val="0"/>
              <w:divBdr>
                <w:top w:val="none" w:sz="0" w:space="0" w:color="auto"/>
                <w:left w:val="none" w:sz="0" w:space="0" w:color="auto"/>
                <w:bottom w:val="none" w:sz="0" w:space="0" w:color="auto"/>
                <w:right w:val="none" w:sz="0" w:space="0" w:color="auto"/>
              </w:divBdr>
              <w:divsChild>
                <w:div w:id="1818914465">
                  <w:marLeft w:val="0"/>
                  <w:marRight w:val="0"/>
                  <w:marTop w:val="0"/>
                  <w:marBottom w:val="0"/>
                  <w:divBdr>
                    <w:top w:val="none" w:sz="0" w:space="0" w:color="auto"/>
                    <w:left w:val="none" w:sz="0" w:space="0" w:color="auto"/>
                    <w:bottom w:val="none" w:sz="0" w:space="0" w:color="auto"/>
                    <w:right w:val="none" w:sz="0" w:space="0" w:color="auto"/>
                  </w:divBdr>
                  <w:divsChild>
                    <w:div w:id="1180967991">
                      <w:marLeft w:val="0"/>
                      <w:marRight w:val="0"/>
                      <w:marTop w:val="0"/>
                      <w:marBottom w:val="0"/>
                      <w:divBdr>
                        <w:top w:val="none" w:sz="0" w:space="0" w:color="auto"/>
                        <w:left w:val="none" w:sz="0" w:space="0" w:color="auto"/>
                        <w:bottom w:val="none" w:sz="0" w:space="0" w:color="auto"/>
                        <w:right w:val="none" w:sz="0" w:space="0" w:color="auto"/>
                      </w:divBdr>
                      <w:divsChild>
                        <w:div w:id="9204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938603">
      <w:bodyDiv w:val="1"/>
      <w:marLeft w:val="60"/>
      <w:marRight w:val="60"/>
      <w:marTop w:val="0"/>
      <w:marBottom w:val="0"/>
      <w:divBdr>
        <w:top w:val="none" w:sz="0" w:space="0" w:color="auto"/>
        <w:left w:val="none" w:sz="0" w:space="0" w:color="auto"/>
        <w:bottom w:val="none" w:sz="0" w:space="0" w:color="auto"/>
        <w:right w:val="none" w:sz="0" w:space="0" w:color="auto"/>
      </w:divBdr>
      <w:divsChild>
        <w:div w:id="1910654415">
          <w:marLeft w:val="0"/>
          <w:marRight w:val="0"/>
          <w:marTop w:val="0"/>
          <w:marBottom w:val="0"/>
          <w:divBdr>
            <w:top w:val="none" w:sz="0" w:space="0" w:color="auto"/>
            <w:left w:val="none" w:sz="0" w:space="0" w:color="auto"/>
            <w:bottom w:val="none" w:sz="0" w:space="0" w:color="auto"/>
            <w:right w:val="none" w:sz="0" w:space="0" w:color="auto"/>
          </w:divBdr>
          <w:divsChild>
            <w:div w:id="686637510">
              <w:marLeft w:val="0"/>
              <w:marRight w:val="0"/>
              <w:marTop w:val="0"/>
              <w:marBottom w:val="0"/>
              <w:divBdr>
                <w:top w:val="none" w:sz="0" w:space="0" w:color="auto"/>
                <w:left w:val="none" w:sz="0" w:space="0" w:color="auto"/>
                <w:bottom w:val="none" w:sz="0" w:space="0" w:color="auto"/>
                <w:right w:val="none" w:sz="0" w:space="0" w:color="auto"/>
              </w:divBdr>
              <w:divsChild>
                <w:div w:id="1282539611">
                  <w:marLeft w:val="0"/>
                  <w:marRight w:val="0"/>
                  <w:marTop w:val="0"/>
                  <w:marBottom w:val="0"/>
                  <w:divBdr>
                    <w:top w:val="none" w:sz="0" w:space="0" w:color="auto"/>
                    <w:left w:val="none" w:sz="0" w:space="0" w:color="auto"/>
                    <w:bottom w:val="none" w:sz="0" w:space="0" w:color="auto"/>
                    <w:right w:val="none" w:sz="0" w:space="0" w:color="auto"/>
                  </w:divBdr>
                  <w:divsChild>
                    <w:div w:id="16676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934960">
      <w:bodyDiv w:val="1"/>
      <w:marLeft w:val="0"/>
      <w:marRight w:val="0"/>
      <w:marTop w:val="0"/>
      <w:marBottom w:val="0"/>
      <w:divBdr>
        <w:top w:val="none" w:sz="0" w:space="0" w:color="auto"/>
        <w:left w:val="none" w:sz="0" w:space="0" w:color="auto"/>
        <w:bottom w:val="none" w:sz="0" w:space="0" w:color="auto"/>
        <w:right w:val="none" w:sz="0" w:space="0" w:color="auto"/>
      </w:divBdr>
    </w:div>
    <w:div w:id="760377666">
      <w:bodyDiv w:val="1"/>
      <w:marLeft w:val="0"/>
      <w:marRight w:val="0"/>
      <w:marTop w:val="0"/>
      <w:marBottom w:val="0"/>
      <w:divBdr>
        <w:top w:val="none" w:sz="0" w:space="0" w:color="auto"/>
        <w:left w:val="none" w:sz="0" w:space="0" w:color="auto"/>
        <w:bottom w:val="none" w:sz="0" w:space="0" w:color="auto"/>
        <w:right w:val="none" w:sz="0" w:space="0" w:color="auto"/>
      </w:divBdr>
    </w:div>
    <w:div w:id="769273168">
      <w:bodyDiv w:val="1"/>
      <w:marLeft w:val="0"/>
      <w:marRight w:val="0"/>
      <w:marTop w:val="0"/>
      <w:marBottom w:val="0"/>
      <w:divBdr>
        <w:top w:val="none" w:sz="0" w:space="0" w:color="auto"/>
        <w:left w:val="none" w:sz="0" w:space="0" w:color="auto"/>
        <w:bottom w:val="none" w:sz="0" w:space="0" w:color="auto"/>
        <w:right w:val="none" w:sz="0" w:space="0" w:color="auto"/>
      </w:divBdr>
    </w:div>
    <w:div w:id="811219445">
      <w:bodyDiv w:val="1"/>
      <w:marLeft w:val="0"/>
      <w:marRight w:val="0"/>
      <w:marTop w:val="0"/>
      <w:marBottom w:val="0"/>
      <w:divBdr>
        <w:top w:val="none" w:sz="0" w:space="0" w:color="auto"/>
        <w:left w:val="none" w:sz="0" w:space="0" w:color="auto"/>
        <w:bottom w:val="none" w:sz="0" w:space="0" w:color="auto"/>
        <w:right w:val="none" w:sz="0" w:space="0" w:color="auto"/>
      </w:divBdr>
      <w:divsChild>
        <w:div w:id="907300337">
          <w:marLeft w:val="0"/>
          <w:marRight w:val="0"/>
          <w:marTop w:val="0"/>
          <w:marBottom w:val="0"/>
          <w:divBdr>
            <w:top w:val="none" w:sz="0" w:space="0" w:color="auto"/>
            <w:left w:val="none" w:sz="0" w:space="0" w:color="auto"/>
            <w:bottom w:val="none" w:sz="0" w:space="0" w:color="auto"/>
            <w:right w:val="none" w:sz="0" w:space="0" w:color="auto"/>
          </w:divBdr>
          <w:divsChild>
            <w:div w:id="296840891">
              <w:marLeft w:val="0"/>
              <w:marRight w:val="0"/>
              <w:marTop w:val="0"/>
              <w:marBottom w:val="0"/>
              <w:divBdr>
                <w:top w:val="none" w:sz="0" w:space="0" w:color="auto"/>
                <w:left w:val="none" w:sz="0" w:space="0" w:color="auto"/>
                <w:bottom w:val="none" w:sz="0" w:space="0" w:color="auto"/>
                <w:right w:val="none" w:sz="0" w:space="0" w:color="auto"/>
              </w:divBdr>
              <w:divsChild>
                <w:div w:id="1485006909">
                  <w:marLeft w:val="0"/>
                  <w:marRight w:val="0"/>
                  <w:marTop w:val="0"/>
                  <w:marBottom w:val="0"/>
                  <w:divBdr>
                    <w:top w:val="none" w:sz="0" w:space="0" w:color="auto"/>
                    <w:left w:val="none" w:sz="0" w:space="0" w:color="auto"/>
                    <w:bottom w:val="none" w:sz="0" w:space="0" w:color="auto"/>
                    <w:right w:val="none" w:sz="0" w:space="0" w:color="auto"/>
                  </w:divBdr>
                  <w:divsChild>
                    <w:div w:id="875895572">
                      <w:marLeft w:val="0"/>
                      <w:marRight w:val="0"/>
                      <w:marTop w:val="0"/>
                      <w:marBottom w:val="0"/>
                      <w:divBdr>
                        <w:top w:val="none" w:sz="0" w:space="0" w:color="auto"/>
                        <w:left w:val="none" w:sz="0" w:space="0" w:color="auto"/>
                        <w:bottom w:val="none" w:sz="0" w:space="0" w:color="auto"/>
                        <w:right w:val="none" w:sz="0" w:space="0" w:color="auto"/>
                      </w:divBdr>
                      <w:divsChild>
                        <w:div w:id="1835754981">
                          <w:marLeft w:val="0"/>
                          <w:marRight w:val="0"/>
                          <w:marTop w:val="0"/>
                          <w:marBottom w:val="0"/>
                          <w:divBdr>
                            <w:top w:val="none" w:sz="0" w:space="0" w:color="auto"/>
                            <w:left w:val="none" w:sz="0" w:space="0" w:color="auto"/>
                            <w:bottom w:val="none" w:sz="0" w:space="0" w:color="auto"/>
                            <w:right w:val="none" w:sz="0" w:space="0" w:color="auto"/>
                          </w:divBdr>
                          <w:divsChild>
                            <w:div w:id="103548631">
                              <w:marLeft w:val="0"/>
                              <w:marRight w:val="0"/>
                              <w:marTop w:val="0"/>
                              <w:marBottom w:val="0"/>
                              <w:divBdr>
                                <w:top w:val="none" w:sz="0" w:space="0" w:color="auto"/>
                                <w:left w:val="none" w:sz="0" w:space="0" w:color="auto"/>
                                <w:bottom w:val="none" w:sz="0" w:space="0" w:color="auto"/>
                                <w:right w:val="none" w:sz="0" w:space="0" w:color="auto"/>
                              </w:divBdr>
                              <w:divsChild>
                                <w:div w:id="1489977802">
                                  <w:marLeft w:val="0"/>
                                  <w:marRight w:val="0"/>
                                  <w:marTop w:val="0"/>
                                  <w:marBottom w:val="0"/>
                                  <w:divBdr>
                                    <w:top w:val="none" w:sz="0" w:space="0" w:color="auto"/>
                                    <w:left w:val="none" w:sz="0" w:space="0" w:color="auto"/>
                                    <w:bottom w:val="none" w:sz="0" w:space="0" w:color="auto"/>
                                    <w:right w:val="none" w:sz="0" w:space="0" w:color="auto"/>
                                  </w:divBdr>
                                  <w:divsChild>
                                    <w:div w:id="1797287582">
                                      <w:marLeft w:val="0"/>
                                      <w:marRight w:val="0"/>
                                      <w:marTop w:val="0"/>
                                      <w:marBottom w:val="0"/>
                                      <w:divBdr>
                                        <w:top w:val="none" w:sz="0" w:space="0" w:color="auto"/>
                                        <w:left w:val="none" w:sz="0" w:space="0" w:color="auto"/>
                                        <w:bottom w:val="none" w:sz="0" w:space="0" w:color="auto"/>
                                        <w:right w:val="none" w:sz="0" w:space="0" w:color="auto"/>
                                      </w:divBdr>
                                      <w:divsChild>
                                        <w:div w:id="24911984">
                                          <w:marLeft w:val="0"/>
                                          <w:marRight w:val="0"/>
                                          <w:marTop w:val="0"/>
                                          <w:marBottom w:val="0"/>
                                          <w:divBdr>
                                            <w:top w:val="none" w:sz="0" w:space="0" w:color="auto"/>
                                            <w:left w:val="none" w:sz="0" w:space="0" w:color="auto"/>
                                            <w:bottom w:val="none" w:sz="0" w:space="0" w:color="auto"/>
                                            <w:right w:val="none" w:sz="0" w:space="0" w:color="auto"/>
                                          </w:divBdr>
                                          <w:divsChild>
                                            <w:div w:id="531384695">
                                              <w:marLeft w:val="150"/>
                                              <w:marRight w:val="150"/>
                                              <w:marTop w:val="150"/>
                                              <w:marBottom w:val="300"/>
                                              <w:divBdr>
                                                <w:top w:val="none" w:sz="0" w:space="0" w:color="auto"/>
                                                <w:left w:val="none" w:sz="0" w:space="0" w:color="auto"/>
                                                <w:bottom w:val="none" w:sz="0" w:space="0" w:color="auto"/>
                                                <w:right w:val="none" w:sz="0" w:space="0" w:color="auto"/>
                                              </w:divBdr>
                                              <w:divsChild>
                                                <w:div w:id="964506929">
                                                  <w:marLeft w:val="0"/>
                                                  <w:marRight w:val="0"/>
                                                  <w:marTop w:val="0"/>
                                                  <w:marBottom w:val="0"/>
                                                  <w:divBdr>
                                                    <w:top w:val="none" w:sz="0" w:space="0" w:color="auto"/>
                                                    <w:left w:val="none" w:sz="0" w:space="0" w:color="auto"/>
                                                    <w:bottom w:val="none" w:sz="0" w:space="0" w:color="auto"/>
                                                    <w:right w:val="none" w:sz="0" w:space="0" w:color="auto"/>
                                                  </w:divBdr>
                                                  <w:divsChild>
                                                    <w:div w:id="1212300837">
                                                      <w:marLeft w:val="0"/>
                                                      <w:marRight w:val="0"/>
                                                      <w:marTop w:val="0"/>
                                                      <w:marBottom w:val="0"/>
                                                      <w:divBdr>
                                                        <w:top w:val="none" w:sz="0" w:space="0" w:color="auto"/>
                                                        <w:left w:val="none" w:sz="0" w:space="0" w:color="auto"/>
                                                        <w:bottom w:val="none" w:sz="0" w:space="0" w:color="auto"/>
                                                        <w:right w:val="none" w:sz="0" w:space="0" w:color="auto"/>
                                                      </w:divBdr>
                                                      <w:divsChild>
                                                        <w:div w:id="453016697">
                                                          <w:marLeft w:val="0"/>
                                                          <w:marRight w:val="0"/>
                                                          <w:marTop w:val="0"/>
                                                          <w:marBottom w:val="0"/>
                                                          <w:divBdr>
                                                            <w:top w:val="none" w:sz="0" w:space="0" w:color="auto"/>
                                                            <w:left w:val="none" w:sz="0" w:space="0" w:color="auto"/>
                                                            <w:bottom w:val="none" w:sz="0" w:space="0" w:color="auto"/>
                                                            <w:right w:val="none" w:sz="0" w:space="0" w:color="auto"/>
                                                          </w:divBdr>
                                                          <w:divsChild>
                                                            <w:div w:id="86344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2910259">
      <w:bodyDiv w:val="1"/>
      <w:marLeft w:val="0"/>
      <w:marRight w:val="0"/>
      <w:marTop w:val="0"/>
      <w:marBottom w:val="0"/>
      <w:divBdr>
        <w:top w:val="none" w:sz="0" w:space="0" w:color="auto"/>
        <w:left w:val="none" w:sz="0" w:space="0" w:color="auto"/>
        <w:bottom w:val="none" w:sz="0" w:space="0" w:color="auto"/>
        <w:right w:val="none" w:sz="0" w:space="0" w:color="auto"/>
      </w:divBdr>
      <w:divsChild>
        <w:div w:id="625283942">
          <w:marLeft w:val="0"/>
          <w:marRight w:val="0"/>
          <w:marTop w:val="100"/>
          <w:marBottom w:val="100"/>
          <w:divBdr>
            <w:top w:val="none" w:sz="0" w:space="0" w:color="auto"/>
            <w:left w:val="none" w:sz="0" w:space="0" w:color="auto"/>
            <w:bottom w:val="none" w:sz="0" w:space="0" w:color="auto"/>
            <w:right w:val="none" w:sz="0" w:space="0" w:color="auto"/>
          </w:divBdr>
          <w:divsChild>
            <w:div w:id="184247647">
              <w:marLeft w:val="0"/>
              <w:marRight w:val="0"/>
              <w:marTop w:val="0"/>
              <w:marBottom w:val="0"/>
              <w:divBdr>
                <w:top w:val="none" w:sz="0" w:space="0" w:color="auto"/>
                <w:left w:val="none" w:sz="0" w:space="0" w:color="auto"/>
                <w:bottom w:val="none" w:sz="0" w:space="0" w:color="auto"/>
                <w:right w:val="none" w:sz="0" w:space="0" w:color="auto"/>
              </w:divBdr>
              <w:divsChild>
                <w:div w:id="1385985466">
                  <w:marLeft w:val="0"/>
                  <w:marRight w:val="0"/>
                  <w:marTop w:val="0"/>
                  <w:marBottom w:val="0"/>
                  <w:divBdr>
                    <w:top w:val="none" w:sz="0" w:space="0" w:color="auto"/>
                    <w:left w:val="none" w:sz="0" w:space="0" w:color="auto"/>
                    <w:bottom w:val="none" w:sz="0" w:space="0" w:color="auto"/>
                    <w:right w:val="none" w:sz="0" w:space="0" w:color="auto"/>
                  </w:divBdr>
                  <w:divsChild>
                    <w:div w:id="2103530667">
                      <w:marLeft w:val="0"/>
                      <w:marRight w:val="0"/>
                      <w:marTop w:val="0"/>
                      <w:marBottom w:val="300"/>
                      <w:divBdr>
                        <w:top w:val="none" w:sz="0" w:space="0" w:color="auto"/>
                        <w:left w:val="none" w:sz="0" w:space="0" w:color="auto"/>
                        <w:bottom w:val="none" w:sz="0" w:space="0" w:color="auto"/>
                        <w:right w:val="none" w:sz="0" w:space="0" w:color="auto"/>
                      </w:divBdr>
                      <w:divsChild>
                        <w:div w:id="187256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039689">
      <w:bodyDiv w:val="1"/>
      <w:marLeft w:val="0"/>
      <w:marRight w:val="0"/>
      <w:marTop w:val="0"/>
      <w:marBottom w:val="0"/>
      <w:divBdr>
        <w:top w:val="none" w:sz="0" w:space="0" w:color="auto"/>
        <w:left w:val="none" w:sz="0" w:space="0" w:color="auto"/>
        <w:bottom w:val="none" w:sz="0" w:space="0" w:color="auto"/>
        <w:right w:val="none" w:sz="0" w:space="0" w:color="auto"/>
      </w:divBdr>
      <w:divsChild>
        <w:div w:id="148333243">
          <w:marLeft w:val="0"/>
          <w:marRight w:val="0"/>
          <w:marTop w:val="0"/>
          <w:marBottom w:val="0"/>
          <w:divBdr>
            <w:top w:val="none" w:sz="0" w:space="0" w:color="auto"/>
            <w:left w:val="none" w:sz="0" w:space="0" w:color="auto"/>
            <w:bottom w:val="none" w:sz="0" w:space="0" w:color="auto"/>
            <w:right w:val="none" w:sz="0" w:space="0" w:color="auto"/>
          </w:divBdr>
          <w:divsChild>
            <w:div w:id="392310460">
              <w:marLeft w:val="0"/>
              <w:marRight w:val="0"/>
              <w:marTop w:val="0"/>
              <w:marBottom w:val="0"/>
              <w:divBdr>
                <w:top w:val="none" w:sz="0" w:space="0" w:color="auto"/>
                <w:left w:val="none" w:sz="0" w:space="0" w:color="auto"/>
                <w:bottom w:val="none" w:sz="0" w:space="0" w:color="auto"/>
                <w:right w:val="none" w:sz="0" w:space="0" w:color="auto"/>
              </w:divBdr>
              <w:divsChild>
                <w:div w:id="208961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7281">
      <w:bodyDiv w:val="1"/>
      <w:marLeft w:val="0"/>
      <w:marRight w:val="0"/>
      <w:marTop w:val="0"/>
      <w:marBottom w:val="0"/>
      <w:divBdr>
        <w:top w:val="none" w:sz="0" w:space="0" w:color="auto"/>
        <w:left w:val="none" w:sz="0" w:space="0" w:color="auto"/>
        <w:bottom w:val="none" w:sz="0" w:space="0" w:color="auto"/>
        <w:right w:val="none" w:sz="0" w:space="0" w:color="auto"/>
      </w:divBdr>
      <w:divsChild>
        <w:div w:id="824005773">
          <w:marLeft w:val="0"/>
          <w:marRight w:val="0"/>
          <w:marTop w:val="0"/>
          <w:marBottom w:val="0"/>
          <w:divBdr>
            <w:top w:val="none" w:sz="0" w:space="0" w:color="auto"/>
            <w:left w:val="none" w:sz="0" w:space="0" w:color="auto"/>
            <w:bottom w:val="none" w:sz="0" w:space="0" w:color="auto"/>
            <w:right w:val="none" w:sz="0" w:space="0" w:color="auto"/>
          </w:divBdr>
          <w:divsChild>
            <w:div w:id="1484156763">
              <w:marLeft w:val="0"/>
              <w:marRight w:val="0"/>
              <w:marTop w:val="0"/>
              <w:marBottom w:val="0"/>
              <w:divBdr>
                <w:top w:val="none" w:sz="0" w:space="0" w:color="auto"/>
                <w:left w:val="none" w:sz="0" w:space="0" w:color="auto"/>
                <w:bottom w:val="none" w:sz="0" w:space="0" w:color="auto"/>
                <w:right w:val="none" w:sz="0" w:space="0" w:color="auto"/>
              </w:divBdr>
              <w:divsChild>
                <w:div w:id="734164606">
                  <w:marLeft w:val="0"/>
                  <w:marRight w:val="0"/>
                  <w:marTop w:val="0"/>
                  <w:marBottom w:val="0"/>
                  <w:divBdr>
                    <w:top w:val="none" w:sz="0" w:space="0" w:color="auto"/>
                    <w:left w:val="none" w:sz="0" w:space="0" w:color="auto"/>
                    <w:bottom w:val="none" w:sz="0" w:space="0" w:color="auto"/>
                    <w:right w:val="none" w:sz="0" w:space="0" w:color="auto"/>
                  </w:divBdr>
                </w:div>
                <w:div w:id="753090323">
                  <w:marLeft w:val="0"/>
                  <w:marRight w:val="0"/>
                  <w:marTop w:val="0"/>
                  <w:marBottom w:val="0"/>
                  <w:divBdr>
                    <w:top w:val="none" w:sz="0" w:space="0" w:color="auto"/>
                    <w:left w:val="none" w:sz="0" w:space="0" w:color="auto"/>
                    <w:bottom w:val="none" w:sz="0" w:space="0" w:color="auto"/>
                    <w:right w:val="none" w:sz="0" w:space="0" w:color="auto"/>
                  </w:divBdr>
                  <w:divsChild>
                    <w:div w:id="46144789">
                      <w:marLeft w:val="0"/>
                      <w:marRight w:val="0"/>
                      <w:marTop w:val="0"/>
                      <w:marBottom w:val="0"/>
                      <w:divBdr>
                        <w:top w:val="none" w:sz="0" w:space="0" w:color="auto"/>
                        <w:left w:val="none" w:sz="0" w:space="0" w:color="auto"/>
                        <w:bottom w:val="none" w:sz="0" w:space="0" w:color="auto"/>
                        <w:right w:val="none" w:sz="0" w:space="0" w:color="auto"/>
                      </w:divBdr>
                    </w:div>
                  </w:divsChild>
                </w:div>
                <w:div w:id="20325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510390">
      <w:bodyDiv w:val="1"/>
      <w:marLeft w:val="0"/>
      <w:marRight w:val="0"/>
      <w:marTop w:val="0"/>
      <w:marBottom w:val="0"/>
      <w:divBdr>
        <w:top w:val="none" w:sz="0" w:space="0" w:color="auto"/>
        <w:left w:val="none" w:sz="0" w:space="0" w:color="auto"/>
        <w:bottom w:val="none" w:sz="0" w:space="0" w:color="auto"/>
        <w:right w:val="none" w:sz="0" w:space="0" w:color="auto"/>
      </w:divBdr>
      <w:divsChild>
        <w:div w:id="856891182">
          <w:marLeft w:val="0"/>
          <w:marRight w:val="0"/>
          <w:marTop w:val="0"/>
          <w:marBottom w:val="0"/>
          <w:divBdr>
            <w:top w:val="none" w:sz="0" w:space="0" w:color="auto"/>
            <w:left w:val="none" w:sz="0" w:space="0" w:color="auto"/>
            <w:bottom w:val="none" w:sz="0" w:space="0" w:color="auto"/>
            <w:right w:val="none" w:sz="0" w:space="0" w:color="auto"/>
          </w:divBdr>
          <w:divsChild>
            <w:div w:id="1153568680">
              <w:marLeft w:val="0"/>
              <w:marRight w:val="0"/>
              <w:marTop w:val="0"/>
              <w:marBottom w:val="0"/>
              <w:divBdr>
                <w:top w:val="none" w:sz="0" w:space="0" w:color="auto"/>
                <w:left w:val="none" w:sz="0" w:space="0" w:color="auto"/>
                <w:bottom w:val="none" w:sz="0" w:space="0" w:color="auto"/>
                <w:right w:val="none" w:sz="0" w:space="0" w:color="auto"/>
              </w:divBdr>
              <w:divsChild>
                <w:div w:id="12769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29952">
      <w:bodyDiv w:val="1"/>
      <w:marLeft w:val="0"/>
      <w:marRight w:val="0"/>
      <w:marTop w:val="0"/>
      <w:marBottom w:val="0"/>
      <w:divBdr>
        <w:top w:val="none" w:sz="0" w:space="0" w:color="auto"/>
        <w:left w:val="none" w:sz="0" w:space="0" w:color="auto"/>
        <w:bottom w:val="none" w:sz="0" w:space="0" w:color="auto"/>
        <w:right w:val="none" w:sz="0" w:space="0" w:color="auto"/>
      </w:divBdr>
    </w:div>
    <w:div w:id="1332297474">
      <w:bodyDiv w:val="1"/>
      <w:marLeft w:val="0"/>
      <w:marRight w:val="0"/>
      <w:marTop w:val="0"/>
      <w:marBottom w:val="0"/>
      <w:divBdr>
        <w:top w:val="none" w:sz="0" w:space="0" w:color="auto"/>
        <w:left w:val="none" w:sz="0" w:space="0" w:color="auto"/>
        <w:bottom w:val="none" w:sz="0" w:space="0" w:color="auto"/>
        <w:right w:val="none" w:sz="0" w:space="0" w:color="auto"/>
      </w:divBdr>
      <w:divsChild>
        <w:div w:id="1815632865">
          <w:marLeft w:val="0"/>
          <w:marRight w:val="0"/>
          <w:marTop w:val="0"/>
          <w:marBottom w:val="0"/>
          <w:divBdr>
            <w:top w:val="none" w:sz="0" w:space="0" w:color="auto"/>
            <w:left w:val="none" w:sz="0" w:space="0" w:color="auto"/>
            <w:bottom w:val="none" w:sz="0" w:space="0" w:color="auto"/>
            <w:right w:val="none" w:sz="0" w:space="0" w:color="auto"/>
          </w:divBdr>
          <w:divsChild>
            <w:div w:id="793518479">
              <w:marLeft w:val="0"/>
              <w:marRight w:val="0"/>
              <w:marTop w:val="0"/>
              <w:marBottom w:val="0"/>
              <w:divBdr>
                <w:top w:val="none" w:sz="0" w:space="0" w:color="auto"/>
                <w:left w:val="none" w:sz="0" w:space="0" w:color="auto"/>
                <w:bottom w:val="none" w:sz="0" w:space="0" w:color="auto"/>
                <w:right w:val="none" w:sz="0" w:space="0" w:color="auto"/>
              </w:divBdr>
              <w:divsChild>
                <w:div w:id="168081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141501">
      <w:bodyDiv w:val="1"/>
      <w:marLeft w:val="0"/>
      <w:marRight w:val="0"/>
      <w:marTop w:val="0"/>
      <w:marBottom w:val="0"/>
      <w:divBdr>
        <w:top w:val="none" w:sz="0" w:space="0" w:color="auto"/>
        <w:left w:val="none" w:sz="0" w:space="0" w:color="auto"/>
        <w:bottom w:val="none" w:sz="0" w:space="0" w:color="auto"/>
        <w:right w:val="none" w:sz="0" w:space="0" w:color="auto"/>
      </w:divBdr>
      <w:divsChild>
        <w:div w:id="93016379">
          <w:marLeft w:val="0"/>
          <w:marRight w:val="0"/>
          <w:marTop w:val="0"/>
          <w:marBottom w:val="0"/>
          <w:divBdr>
            <w:top w:val="none" w:sz="0" w:space="0" w:color="auto"/>
            <w:left w:val="none" w:sz="0" w:space="0" w:color="auto"/>
            <w:bottom w:val="none" w:sz="0" w:space="0" w:color="auto"/>
            <w:right w:val="none" w:sz="0" w:space="0" w:color="auto"/>
          </w:divBdr>
          <w:divsChild>
            <w:div w:id="1696926134">
              <w:marLeft w:val="0"/>
              <w:marRight w:val="0"/>
              <w:marTop w:val="0"/>
              <w:marBottom w:val="0"/>
              <w:divBdr>
                <w:top w:val="none" w:sz="0" w:space="0" w:color="auto"/>
                <w:left w:val="none" w:sz="0" w:space="0" w:color="auto"/>
                <w:bottom w:val="none" w:sz="0" w:space="0" w:color="auto"/>
                <w:right w:val="none" w:sz="0" w:space="0" w:color="auto"/>
              </w:divBdr>
              <w:divsChild>
                <w:div w:id="378166838">
                  <w:marLeft w:val="0"/>
                  <w:marRight w:val="0"/>
                  <w:marTop w:val="0"/>
                  <w:marBottom w:val="0"/>
                  <w:divBdr>
                    <w:top w:val="none" w:sz="0" w:space="0" w:color="auto"/>
                    <w:left w:val="none" w:sz="0" w:space="0" w:color="auto"/>
                    <w:bottom w:val="none" w:sz="0" w:space="0" w:color="auto"/>
                    <w:right w:val="none" w:sz="0" w:space="0" w:color="auto"/>
                  </w:divBdr>
                  <w:divsChild>
                    <w:div w:id="711152012">
                      <w:marLeft w:val="0"/>
                      <w:marRight w:val="0"/>
                      <w:marTop w:val="0"/>
                      <w:marBottom w:val="0"/>
                      <w:divBdr>
                        <w:top w:val="none" w:sz="0" w:space="0" w:color="auto"/>
                        <w:left w:val="none" w:sz="0" w:space="0" w:color="auto"/>
                        <w:bottom w:val="none" w:sz="0" w:space="0" w:color="auto"/>
                        <w:right w:val="none" w:sz="0" w:space="0" w:color="auto"/>
                      </w:divBdr>
                      <w:divsChild>
                        <w:div w:id="430973008">
                          <w:marLeft w:val="0"/>
                          <w:marRight w:val="0"/>
                          <w:marTop w:val="0"/>
                          <w:marBottom w:val="0"/>
                          <w:divBdr>
                            <w:top w:val="none" w:sz="0" w:space="0" w:color="auto"/>
                            <w:left w:val="none" w:sz="0" w:space="0" w:color="auto"/>
                            <w:bottom w:val="none" w:sz="0" w:space="0" w:color="auto"/>
                            <w:right w:val="none" w:sz="0" w:space="0" w:color="auto"/>
                          </w:divBdr>
                          <w:divsChild>
                            <w:div w:id="1015153832">
                              <w:marLeft w:val="0"/>
                              <w:marRight w:val="0"/>
                              <w:marTop w:val="0"/>
                              <w:marBottom w:val="0"/>
                              <w:divBdr>
                                <w:top w:val="none" w:sz="0" w:space="0" w:color="auto"/>
                                <w:left w:val="none" w:sz="0" w:space="0" w:color="auto"/>
                                <w:bottom w:val="none" w:sz="0" w:space="0" w:color="auto"/>
                                <w:right w:val="none" w:sz="0" w:space="0" w:color="auto"/>
                              </w:divBdr>
                              <w:divsChild>
                                <w:div w:id="872690943">
                                  <w:marLeft w:val="0"/>
                                  <w:marRight w:val="0"/>
                                  <w:marTop w:val="0"/>
                                  <w:marBottom w:val="0"/>
                                  <w:divBdr>
                                    <w:top w:val="none" w:sz="0" w:space="0" w:color="auto"/>
                                    <w:left w:val="none" w:sz="0" w:space="0" w:color="auto"/>
                                    <w:bottom w:val="none" w:sz="0" w:space="0" w:color="auto"/>
                                    <w:right w:val="none" w:sz="0" w:space="0" w:color="auto"/>
                                  </w:divBdr>
                                  <w:divsChild>
                                    <w:div w:id="1510678975">
                                      <w:marLeft w:val="0"/>
                                      <w:marRight w:val="0"/>
                                      <w:marTop w:val="0"/>
                                      <w:marBottom w:val="0"/>
                                      <w:divBdr>
                                        <w:top w:val="none" w:sz="0" w:space="0" w:color="auto"/>
                                        <w:left w:val="none" w:sz="0" w:space="0" w:color="auto"/>
                                        <w:bottom w:val="none" w:sz="0" w:space="0" w:color="auto"/>
                                        <w:right w:val="none" w:sz="0" w:space="0" w:color="auto"/>
                                      </w:divBdr>
                                      <w:divsChild>
                                        <w:div w:id="60449591">
                                          <w:marLeft w:val="0"/>
                                          <w:marRight w:val="0"/>
                                          <w:marTop w:val="0"/>
                                          <w:marBottom w:val="0"/>
                                          <w:divBdr>
                                            <w:top w:val="none" w:sz="0" w:space="0" w:color="auto"/>
                                            <w:left w:val="none" w:sz="0" w:space="0" w:color="auto"/>
                                            <w:bottom w:val="none" w:sz="0" w:space="0" w:color="auto"/>
                                            <w:right w:val="none" w:sz="0" w:space="0" w:color="auto"/>
                                          </w:divBdr>
                                          <w:divsChild>
                                            <w:div w:id="624696956">
                                              <w:marLeft w:val="150"/>
                                              <w:marRight w:val="150"/>
                                              <w:marTop w:val="150"/>
                                              <w:marBottom w:val="300"/>
                                              <w:divBdr>
                                                <w:top w:val="none" w:sz="0" w:space="0" w:color="auto"/>
                                                <w:left w:val="none" w:sz="0" w:space="0" w:color="auto"/>
                                                <w:bottom w:val="none" w:sz="0" w:space="0" w:color="auto"/>
                                                <w:right w:val="none" w:sz="0" w:space="0" w:color="auto"/>
                                              </w:divBdr>
                                              <w:divsChild>
                                                <w:div w:id="348289911">
                                                  <w:marLeft w:val="0"/>
                                                  <w:marRight w:val="0"/>
                                                  <w:marTop w:val="0"/>
                                                  <w:marBottom w:val="0"/>
                                                  <w:divBdr>
                                                    <w:top w:val="none" w:sz="0" w:space="0" w:color="auto"/>
                                                    <w:left w:val="none" w:sz="0" w:space="0" w:color="auto"/>
                                                    <w:bottom w:val="none" w:sz="0" w:space="0" w:color="auto"/>
                                                    <w:right w:val="none" w:sz="0" w:space="0" w:color="auto"/>
                                                  </w:divBdr>
                                                  <w:divsChild>
                                                    <w:div w:id="1791971044">
                                                      <w:marLeft w:val="0"/>
                                                      <w:marRight w:val="0"/>
                                                      <w:marTop w:val="0"/>
                                                      <w:marBottom w:val="0"/>
                                                      <w:divBdr>
                                                        <w:top w:val="none" w:sz="0" w:space="0" w:color="auto"/>
                                                        <w:left w:val="none" w:sz="0" w:space="0" w:color="auto"/>
                                                        <w:bottom w:val="none" w:sz="0" w:space="0" w:color="auto"/>
                                                        <w:right w:val="none" w:sz="0" w:space="0" w:color="auto"/>
                                                      </w:divBdr>
                                                      <w:divsChild>
                                                        <w:div w:id="800151107">
                                                          <w:marLeft w:val="0"/>
                                                          <w:marRight w:val="0"/>
                                                          <w:marTop w:val="0"/>
                                                          <w:marBottom w:val="0"/>
                                                          <w:divBdr>
                                                            <w:top w:val="none" w:sz="0" w:space="0" w:color="auto"/>
                                                            <w:left w:val="none" w:sz="0" w:space="0" w:color="auto"/>
                                                            <w:bottom w:val="none" w:sz="0" w:space="0" w:color="auto"/>
                                                            <w:right w:val="none" w:sz="0" w:space="0" w:color="auto"/>
                                                          </w:divBdr>
                                                          <w:divsChild>
                                                            <w:div w:id="886378505">
                                                              <w:marLeft w:val="0"/>
                                                              <w:marRight w:val="0"/>
                                                              <w:marTop w:val="0"/>
                                                              <w:marBottom w:val="0"/>
                                                              <w:divBdr>
                                                                <w:top w:val="none" w:sz="0" w:space="0" w:color="auto"/>
                                                                <w:left w:val="none" w:sz="0" w:space="0" w:color="auto"/>
                                                                <w:bottom w:val="none" w:sz="0" w:space="0" w:color="auto"/>
                                                                <w:right w:val="none" w:sz="0" w:space="0" w:color="auto"/>
                                                              </w:divBdr>
                                                            </w:div>
                                                            <w:div w:id="139697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3303231">
      <w:bodyDiv w:val="1"/>
      <w:marLeft w:val="0"/>
      <w:marRight w:val="0"/>
      <w:marTop w:val="0"/>
      <w:marBottom w:val="0"/>
      <w:divBdr>
        <w:top w:val="none" w:sz="0" w:space="0" w:color="auto"/>
        <w:left w:val="none" w:sz="0" w:space="0" w:color="auto"/>
        <w:bottom w:val="none" w:sz="0" w:space="0" w:color="auto"/>
        <w:right w:val="none" w:sz="0" w:space="0" w:color="auto"/>
      </w:divBdr>
      <w:divsChild>
        <w:div w:id="2018995723">
          <w:marLeft w:val="0"/>
          <w:marRight w:val="0"/>
          <w:marTop w:val="0"/>
          <w:marBottom w:val="0"/>
          <w:divBdr>
            <w:top w:val="none" w:sz="0" w:space="0" w:color="auto"/>
            <w:left w:val="none" w:sz="0" w:space="0" w:color="auto"/>
            <w:bottom w:val="none" w:sz="0" w:space="0" w:color="auto"/>
            <w:right w:val="none" w:sz="0" w:space="0" w:color="auto"/>
          </w:divBdr>
          <w:divsChild>
            <w:div w:id="1009329995">
              <w:marLeft w:val="0"/>
              <w:marRight w:val="0"/>
              <w:marTop w:val="0"/>
              <w:marBottom w:val="0"/>
              <w:divBdr>
                <w:top w:val="none" w:sz="0" w:space="0" w:color="auto"/>
                <w:left w:val="none" w:sz="0" w:space="0" w:color="auto"/>
                <w:bottom w:val="none" w:sz="0" w:space="0" w:color="auto"/>
                <w:right w:val="none" w:sz="0" w:space="0" w:color="auto"/>
              </w:divBdr>
              <w:divsChild>
                <w:div w:id="1907953380">
                  <w:marLeft w:val="0"/>
                  <w:marRight w:val="0"/>
                  <w:marTop w:val="0"/>
                  <w:marBottom w:val="0"/>
                  <w:divBdr>
                    <w:top w:val="none" w:sz="0" w:space="0" w:color="auto"/>
                    <w:left w:val="none" w:sz="0" w:space="0" w:color="auto"/>
                    <w:bottom w:val="none" w:sz="0" w:space="0" w:color="auto"/>
                    <w:right w:val="none" w:sz="0" w:space="0" w:color="auto"/>
                  </w:divBdr>
                  <w:divsChild>
                    <w:div w:id="177618424">
                      <w:marLeft w:val="0"/>
                      <w:marRight w:val="0"/>
                      <w:marTop w:val="0"/>
                      <w:marBottom w:val="0"/>
                      <w:divBdr>
                        <w:top w:val="none" w:sz="0" w:space="0" w:color="auto"/>
                        <w:left w:val="none" w:sz="0" w:space="0" w:color="auto"/>
                        <w:bottom w:val="none" w:sz="0" w:space="0" w:color="auto"/>
                        <w:right w:val="none" w:sz="0" w:space="0" w:color="auto"/>
                      </w:divBdr>
                      <w:divsChild>
                        <w:div w:id="1731493744">
                          <w:marLeft w:val="0"/>
                          <w:marRight w:val="0"/>
                          <w:marTop w:val="315"/>
                          <w:marBottom w:val="0"/>
                          <w:divBdr>
                            <w:top w:val="none" w:sz="0" w:space="0" w:color="auto"/>
                            <w:left w:val="none" w:sz="0" w:space="0" w:color="auto"/>
                            <w:bottom w:val="none" w:sz="0" w:space="0" w:color="auto"/>
                            <w:right w:val="none" w:sz="0" w:space="0" w:color="auto"/>
                          </w:divBdr>
                          <w:divsChild>
                            <w:div w:id="925773686">
                              <w:marLeft w:val="1980"/>
                              <w:marRight w:val="3810"/>
                              <w:marTop w:val="0"/>
                              <w:marBottom w:val="0"/>
                              <w:divBdr>
                                <w:top w:val="none" w:sz="0" w:space="0" w:color="auto"/>
                                <w:left w:val="none" w:sz="0" w:space="0" w:color="auto"/>
                                <w:bottom w:val="none" w:sz="0" w:space="0" w:color="auto"/>
                                <w:right w:val="none" w:sz="0" w:space="0" w:color="auto"/>
                              </w:divBdr>
                              <w:divsChild>
                                <w:div w:id="1682702988">
                                  <w:marLeft w:val="0"/>
                                  <w:marRight w:val="0"/>
                                  <w:marTop w:val="0"/>
                                  <w:marBottom w:val="0"/>
                                  <w:divBdr>
                                    <w:top w:val="none" w:sz="0" w:space="0" w:color="auto"/>
                                    <w:left w:val="none" w:sz="0" w:space="0" w:color="auto"/>
                                    <w:bottom w:val="none" w:sz="0" w:space="0" w:color="auto"/>
                                    <w:right w:val="none" w:sz="0" w:space="0" w:color="auto"/>
                                  </w:divBdr>
                                  <w:divsChild>
                                    <w:div w:id="1618367670">
                                      <w:marLeft w:val="0"/>
                                      <w:marRight w:val="0"/>
                                      <w:marTop w:val="0"/>
                                      <w:marBottom w:val="0"/>
                                      <w:divBdr>
                                        <w:top w:val="none" w:sz="0" w:space="0" w:color="auto"/>
                                        <w:left w:val="none" w:sz="0" w:space="0" w:color="auto"/>
                                        <w:bottom w:val="none" w:sz="0" w:space="0" w:color="auto"/>
                                        <w:right w:val="none" w:sz="0" w:space="0" w:color="auto"/>
                                      </w:divBdr>
                                      <w:divsChild>
                                        <w:div w:id="1864779350">
                                          <w:marLeft w:val="0"/>
                                          <w:marRight w:val="0"/>
                                          <w:marTop w:val="0"/>
                                          <w:marBottom w:val="0"/>
                                          <w:divBdr>
                                            <w:top w:val="none" w:sz="0" w:space="0" w:color="auto"/>
                                            <w:left w:val="none" w:sz="0" w:space="0" w:color="auto"/>
                                            <w:bottom w:val="none" w:sz="0" w:space="0" w:color="auto"/>
                                            <w:right w:val="none" w:sz="0" w:space="0" w:color="auto"/>
                                          </w:divBdr>
                                          <w:divsChild>
                                            <w:div w:id="159751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3491723">
      <w:bodyDiv w:val="1"/>
      <w:marLeft w:val="0"/>
      <w:marRight w:val="0"/>
      <w:marTop w:val="0"/>
      <w:marBottom w:val="0"/>
      <w:divBdr>
        <w:top w:val="none" w:sz="0" w:space="0" w:color="auto"/>
        <w:left w:val="none" w:sz="0" w:space="0" w:color="auto"/>
        <w:bottom w:val="none" w:sz="0" w:space="0" w:color="auto"/>
        <w:right w:val="none" w:sz="0" w:space="0" w:color="auto"/>
      </w:divBdr>
    </w:div>
    <w:div w:id="1517379996">
      <w:bodyDiv w:val="1"/>
      <w:marLeft w:val="0"/>
      <w:marRight w:val="0"/>
      <w:marTop w:val="0"/>
      <w:marBottom w:val="0"/>
      <w:divBdr>
        <w:top w:val="none" w:sz="0" w:space="0" w:color="auto"/>
        <w:left w:val="none" w:sz="0" w:space="0" w:color="auto"/>
        <w:bottom w:val="none" w:sz="0" w:space="0" w:color="auto"/>
        <w:right w:val="none" w:sz="0" w:space="0" w:color="auto"/>
      </w:divBdr>
      <w:divsChild>
        <w:div w:id="130563672">
          <w:marLeft w:val="0"/>
          <w:marRight w:val="0"/>
          <w:marTop w:val="150"/>
          <w:marBottom w:val="150"/>
          <w:divBdr>
            <w:top w:val="single" w:sz="6" w:space="8" w:color="FFFFFF"/>
            <w:left w:val="single" w:sz="6" w:space="8" w:color="FFFFFF"/>
            <w:bottom w:val="single" w:sz="6" w:space="8" w:color="FFFFFF"/>
            <w:right w:val="single" w:sz="6" w:space="8" w:color="FFFFFF"/>
          </w:divBdr>
          <w:divsChild>
            <w:div w:id="1866937975">
              <w:marLeft w:val="0"/>
              <w:marRight w:val="0"/>
              <w:marTop w:val="0"/>
              <w:marBottom w:val="0"/>
              <w:divBdr>
                <w:top w:val="none" w:sz="0" w:space="0" w:color="auto"/>
                <w:left w:val="none" w:sz="0" w:space="0" w:color="auto"/>
                <w:bottom w:val="none" w:sz="0" w:space="0" w:color="auto"/>
                <w:right w:val="none" w:sz="0" w:space="0" w:color="auto"/>
              </w:divBdr>
              <w:divsChild>
                <w:div w:id="1537162077">
                  <w:marLeft w:val="0"/>
                  <w:marRight w:val="0"/>
                  <w:marTop w:val="0"/>
                  <w:marBottom w:val="0"/>
                  <w:divBdr>
                    <w:top w:val="none" w:sz="0" w:space="0" w:color="auto"/>
                    <w:left w:val="none" w:sz="0" w:space="0" w:color="auto"/>
                    <w:bottom w:val="none" w:sz="0" w:space="0" w:color="auto"/>
                    <w:right w:val="none" w:sz="0" w:space="0" w:color="auto"/>
                  </w:divBdr>
                  <w:divsChild>
                    <w:div w:id="506288300">
                      <w:marLeft w:val="0"/>
                      <w:marRight w:val="0"/>
                      <w:marTop w:val="0"/>
                      <w:marBottom w:val="0"/>
                      <w:divBdr>
                        <w:top w:val="none" w:sz="0" w:space="0" w:color="auto"/>
                        <w:left w:val="none" w:sz="0" w:space="0" w:color="auto"/>
                        <w:bottom w:val="none" w:sz="0" w:space="0" w:color="auto"/>
                        <w:right w:val="none" w:sz="0" w:space="0" w:color="auto"/>
                      </w:divBdr>
                      <w:divsChild>
                        <w:div w:id="37945658">
                          <w:marLeft w:val="0"/>
                          <w:marRight w:val="0"/>
                          <w:marTop w:val="0"/>
                          <w:marBottom w:val="0"/>
                          <w:divBdr>
                            <w:top w:val="none" w:sz="0" w:space="0" w:color="auto"/>
                            <w:left w:val="none" w:sz="0" w:space="0" w:color="auto"/>
                            <w:bottom w:val="none" w:sz="0" w:space="0" w:color="auto"/>
                            <w:right w:val="none" w:sz="0" w:space="0" w:color="auto"/>
                          </w:divBdr>
                          <w:divsChild>
                            <w:div w:id="1887519625">
                              <w:marLeft w:val="0"/>
                              <w:marRight w:val="0"/>
                              <w:marTop w:val="0"/>
                              <w:marBottom w:val="0"/>
                              <w:divBdr>
                                <w:top w:val="none" w:sz="0" w:space="0" w:color="auto"/>
                                <w:left w:val="none" w:sz="0" w:space="0" w:color="auto"/>
                                <w:bottom w:val="none" w:sz="0" w:space="0" w:color="auto"/>
                                <w:right w:val="none" w:sz="0" w:space="0" w:color="auto"/>
                              </w:divBdr>
                              <w:divsChild>
                                <w:div w:id="572423870">
                                  <w:marLeft w:val="0"/>
                                  <w:marRight w:val="0"/>
                                  <w:marTop w:val="0"/>
                                  <w:marBottom w:val="0"/>
                                  <w:divBdr>
                                    <w:top w:val="none" w:sz="0" w:space="0" w:color="auto"/>
                                    <w:left w:val="none" w:sz="0" w:space="0" w:color="auto"/>
                                    <w:bottom w:val="none" w:sz="0" w:space="0" w:color="auto"/>
                                    <w:right w:val="none" w:sz="0" w:space="0" w:color="auto"/>
                                  </w:divBdr>
                                  <w:divsChild>
                                    <w:div w:id="753746619">
                                      <w:marLeft w:val="0"/>
                                      <w:marRight w:val="0"/>
                                      <w:marTop w:val="180"/>
                                      <w:marBottom w:val="360"/>
                                      <w:divBdr>
                                        <w:top w:val="none" w:sz="0" w:space="0" w:color="auto"/>
                                        <w:left w:val="none" w:sz="0" w:space="0" w:color="auto"/>
                                        <w:bottom w:val="dotted" w:sz="6" w:space="18" w:color="FFFFFF"/>
                                        <w:right w:val="none" w:sz="0" w:space="0" w:color="auto"/>
                                      </w:divBdr>
                                    </w:div>
                                  </w:divsChild>
                                </w:div>
                              </w:divsChild>
                            </w:div>
                          </w:divsChild>
                        </w:div>
                      </w:divsChild>
                    </w:div>
                  </w:divsChild>
                </w:div>
              </w:divsChild>
            </w:div>
          </w:divsChild>
        </w:div>
      </w:divsChild>
    </w:div>
    <w:div w:id="1607539520">
      <w:bodyDiv w:val="1"/>
      <w:marLeft w:val="0"/>
      <w:marRight w:val="0"/>
      <w:marTop w:val="0"/>
      <w:marBottom w:val="0"/>
      <w:divBdr>
        <w:top w:val="none" w:sz="0" w:space="0" w:color="auto"/>
        <w:left w:val="none" w:sz="0" w:space="0" w:color="auto"/>
        <w:bottom w:val="none" w:sz="0" w:space="0" w:color="auto"/>
        <w:right w:val="none" w:sz="0" w:space="0" w:color="auto"/>
      </w:divBdr>
    </w:div>
    <w:div w:id="1648393370">
      <w:bodyDiv w:val="1"/>
      <w:marLeft w:val="0"/>
      <w:marRight w:val="0"/>
      <w:marTop w:val="0"/>
      <w:marBottom w:val="0"/>
      <w:divBdr>
        <w:top w:val="none" w:sz="0" w:space="0" w:color="auto"/>
        <w:left w:val="none" w:sz="0" w:space="0" w:color="auto"/>
        <w:bottom w:val="none" w:sz="0" w:space="0" w:color="auto"/>
        <w:right w:val="none" w:sz="0" w:space="0" w:color="auto"/>
      </w:divBdr>
      <w:divsChild>
        <w:div w:id="77024765">
          <w:marLeft w:val="0"/>
          <w:marRight w:val="0"/>
          <w:marTop w:val="0"/>
          <w:marBottom w:val="0"/>
          <w:divBdr>
            <w:top w:val="none" w:sz="0" w:space="0" w:color="auto"/>
            <w:left w:val="none" w:sz="0" w:space="0" w:color="auto"/>
            <w:bottom w:val="none" w:sz="0" w:space="0" w:color="auto"/>
            <w:right w:val="none" w:sz="0" w:space="0" w:color="auto"/>
          </w:divBdr>
          <w:divsChild>
            <w:div w:id="1872723587">
              <w:marLeft w:val="0"/>
              <w:marRight w:val="0"/>
              <w:marTop w:val="0"/>
              <w:marBottom w:val="0"/>
              <w:divBdr>
                <w:top w:val="none" w:sz="0" w:space="0" w:color="auto"/>
                <w:left w:val="none" w:sz="0" w:space="0" w:color="auto"/>
                <w:bottom w:val="none" w:sz="0" w:space="0" w:color="auto"/>
                <w:right w:val="none" w:sz="0" w:space="0" w:color="auto"/>
              </w:divBdr>
              <w:divsChild>
                <w:div w:id="760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25798">
      <w:bodyDiv w:val="1"/>
      <w:marLeft w:val="0"/>
      <w:marRight w:val="0"/>
      <w:marTop w:val="0"/>
      <w:marBottom w:val="0"/>
      <w:divBdr>
        <w:top w:val="none" w:sz="0" w:space="0" w:color="auto"/>
        <w:left w:val="none" w:sz="0" w:space="0" w:color="auto"/>
        <w:bottom w:val="none" w:sz="0" w:space="0" w:color="auto"/>
        <w:right w:val="none" w:sz="0" w:space="0" w:color="auto"/>
      </w:divBdr>
    </w:div>
    <w:div w:id="1693913658">
      <w:bodyDiv w:val="1"/>
      <w:marLeft w:val="0"/>
      <w:marRight w:val="0"/>
      <w:marTop w:val="0"/>
      <w:marBottom w:val="0"/>
      <w:divBdr>
        <w:top w:val="none" w:sz="0" w:space="0" w:color="auto"/>
        <w:left w:val="none" w:sz="0" w:space="0" w:color="auto"/>
        <w:bottom w:val="none" w:sz="0" w:space="0" w:color="auto"/>
        <w:right w:val="none" w:sz="0" w:space="0" w:color="auto"/>
      </w:divBdr>
    </w:div>
    <w:div w:id="2136754943">
      <w:bodyDiv w:val="1"/>
      <w:marLeft w:val="0"/>
      <w:marRight w:val="0"/>
      <w:marTop w:val="0"/>
      <w:marBottom w:val="0"/>
      <w:divBdr>
        <w:top w:val="none" w:sz="0" w:space="0" w:color="auto"/>
        <w:left w:val="none" w:sz="0" w:space="0" w:color="auto"/>
        <w:bottom w:val="none" w:sz="0" w:space="0" w:color="auto"/>
        <w:right w:val="none" w:sz="0" w:space="0" w:color="auto"/>
      </w:divBdr>
      <w:divsChild>
        <w:div w:id="427703451">
          <w:marLeft w:val="0"/>
          <w:marRight w:val="0"/>
          <w:marTop w:val="0"/>
          <w:marBottom w:val="0"/>
          <w:divBdr>
            <w:top w:val="none" w:sz="0" w:space="0" w:color="auto"/>
            <w:left w:val="none" w:sz="0" w:space="0" w:color="auto"/>
            <w:bottom w:val="none" w:sz="0" w:space="0" w:color="auto"/>
            <w:right w:val="none" w:sz="0" w:space="0" w:color="auto"/>
          </w:divBdr>
          <w:divsChild>
            <w:div w:id="1480733507">
              <w:marLeft w:val="0"/>
              <w:marRight w:val="0"/>
              <w:marTop w:val="0"/>
              <w:marBottom w:val="0"/>
              <w:divBdr>
                <w:top w:val="none" w:sz="0" w:space="0" w:color="auto"/>
                <w:left w:val="none" w:sz="0" w:space="0" w:color="auto"/>
                <w:bottom w:val="none" w:sz="0" w:space="0" w:color="auto"/>
                <w:right w:val="none" w:sz="0" w:space="0" w:color="auto"/>
              </w:divBdr>
              <w:divsChild>
                <w:div w:id="72583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notes.xml.rels><?xml version="1.0" encoding="UTF-8" standalone="yes"?>
<Relationships xmlns="http://schemas.openxmlformats.org/package/2006/relationships"><Relationship Id="rId8" Type="http://schemas.openxmlformats.org/officeDocument/2006/relationships/hyperlink" Target="http://www.defensoria.org.co/red/anexos/pdf/11/agua/inf_completo.pdf" TargetMode="External"/><Relationship Id="rId3" Type="http://schemas.openxmlformats.org/officeDocument/2006/relationships/hyperlink" Target="http://noticias.terra.com.co/mineria/mineria-en-santurban-contamina-el-agua-para-consumo-humano,a5a8f7a2164f5310VgnVCM20000099f154d0RCRD.html" TargetMode="External"/><Relationship Id="rId7" Type="http://schemas.openxmlformats.org/officeDocument/2006/relationships/hyperlink" Target="http://www.portalplanetasedna.com.ar/oro_azul.htm" TargetMode="External"/><Relationship Id="rId2" Type="http://schemas.openxmlformats.org/officeDocument/2006/relationships/hyperlink" Target="http://www.elmercuriodigital.net/2012/03/transnacionales-mineras-depredacion.html" TargetMode="External"/><Relationship Id="rId1" Type="http://schemas.openxmlformats.org/officeDocument/2006/relationships/hyperlink" Target="http://www.pnuma.org/agua-miaac/REGIONAL/MATERIAL%20ADICIONAL/PRESENTACIONES/PONENTES/Tema%203%20-%20Institucionalidad/Tendencias%20y%20desafios%20en%20la%20gobernanza%20de%20aguas%20-%20Andrea%20Brusco/DERECHO%20INTERNACIONAL%20AGUAS.pdf" TargetMode="External"/><Relationship Id="rId6" Type="http://schemas.openxmlformats.org/officeDocument/2006/relationships/hyperlink" Target="http://www.medio-ambiente.info/modules.php?op=modload&amp;name=News&amp;file=article&amp;sid=377" TargetMode="External"/><Relationship Id="rId11" Type="http://schemas.openxmlformats.org/officeDocument/2006/relationships/hyperlink" Target="http://www.minproteccionsocial.gov.co/Documentos%20y%20Publicaciones/Boletin_epidemiologico_Semana_9.pdf" TargetMode="External"/><Relationship Id="rId5" Type="http://schemas.openxmlformats.org/officeDocument/2006/relationships/hyperlink" Target="http://www.bvsde.paho.org/bvsacd/cd61/aranibar/resulta.pdf" TargetMode="External"/><Relationship Id="rId10" Type="http://schemas.openxmlformats.org/officeDocument/2006/relationships/hyperlink" Target="http://new.paho.org/col/index.php?option=com_content&amp;task=blogcategory&amp;id=791&amp;Itemid=523" TargetMode="External"/><Relationship Id="rId4" Type="http://schemas.openxmlformats.org/officeDocument/2006/relationships/hyperlink" Target="http://www.accefyn.org.co/revista/Vol_34/132/347-356.pdf" TargetMode="External"/><Relationship Id="rId9" Type="http://schemas.openxmlformats.org/officeDocument/2006/relationships/hyperlink" Target="http://www.bolpress.com/art.php?Cod=201203070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051D6-6B7A-4443-B167-B4373DA2D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8516</Words>
  <Characters>46840</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SENADO DE LA REPUBLICA</cp:lastModifiedBy>
  <cp:revision>2</cp:revision>
  <cp:lastPrinted>2012-07-30T19:59:00Z</cp:lastPrinted>
  <dcterms:created xsi:type="dcterms:W3CDTF">2012-08-03T19:35:00Z</dcterms:created>
  <dcterms:modified xsi:type="dcterms:W3CDTF">2012-08-03T19:35:00Z</dcterms:modified>
</cp:coreProperties>
</file>